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6D6" w:rsidRPr="005F0390" w:rsidRDefault="007035DB" w:rsidP="00F138EA">
      <w:pPr>
        <w:jc w:val="both"/>
        <w:rPr>
          <w:szCs w:val="24"/>
        </w:rPr>
      </w:pPr>
      <w:proofErr w:type="spellStart"/>
      <w:r w:rsidRPr="005F0390">
        <w:rPr>
          <w:b/>
          <w:szCs w:val="24"/>
        </w:rPr>
        <w:t>Osvrt</w:t>
      </w:r>
      <w:proofErr w:type="spellEnd"/>
      <w:r w:rsidRPr="005F0390">
        <w:rPr>
          <w:b/>
          <w:szCs w:val="24"/>
        </w:rPr>
        <w:t xml:space="preserve"> </w:t>
      </w:r>
      <w:proofErr w:type="spellStart"/>
      <w:r w:rsidRPr="005F0390">
        <w:rPr>
          <w:b/>
          <w:szCs w:val="24"/>
        </w:rPr>
        <w:t>na</w:t>
      </w:r>
      <w:proofErr w:type="spellEnd"/>
      <w:r w:rsidRPr="005F0390">
        <w:rPr>
          <w:b/>
          <w:szCs w:val="24"/>
        </w:rPr>
        <w:t xml:space="preserve"> </w:t>
      </w:r>
      <w:proofErr w:type="spellStart"/>
      <w:r w:rsidR="007009A3" w:rsidRPr="005F0390">
        <w:rPr>
          <w:b/>
          <w:szCs w:val="24"/>
        </w:rPr>
        <w:t>finansiranje</w:t>
      </w:r>
      <w:proofErr w:type="spellEnd"/>
      <w:r w:rsidR="007009A3" w:rsidRPr="005F0390">
        <w:rPr>
          <w:b/>
          <w:szCs w:val="24"/>
        </w:rPr>
        <w:t xml:space="preserve"> </w:t>
      </w:r>
      <w:proofErr w:type="spellStart"/>
      <w:r w:rsidR="007009A3" w:rsidRPr="005F0390">
        <w:rPr>
          <w:b/>
          <w:szCs w:val="24"/>
        </w:rPr>
        <w:t>tokom</w:t>
      </w:r>
      <w:proofErr w:type="spellEnd"/>
      <w:r w:rsidR="007009A3" w:rsidRPr="005F0390">
        <w:rPr>
          <w:b/>
          <w:szCs w:val="24"/>
        </w:rPr>
        <w:t xml:space="preserve"> </w:t>
      </w:r>
      <w:proofErr w:type="spellStart"/>
      <w:r w:rsidR="007009A3" w:rsidRPr="005F0390">
        <w:rPr>
          <w:b/>
          <w:szCs w:val="24"/>
        </w:rPr>
        <w:t>prethodnog</w:t>
      </w:r>
      <w:proofErr w:type="spellEnd"/>
      <w:r w:rsidRPr="005F0390">
        <w:rPr>
          <w:b/>
          <w:szCs w:val="24"/>
        </w:rPr>
        <w:t xml:space="preserve"> </w:t>
      </w:r>
      <w:proofErr w:type="spellStart"/>
      <w:r w:rsidRPr="005F0390">
        <w:rPr>
          <w:b/>
          <w:szCs w:val="24"/>
        </w:rPr>
        <w:t>period</w:t>
      </w:r>
      <w:r w:rsidR="007009A3" w:rsidRPr="005F0390">
        <w:rPr>
          <w:b/>
          <w:szCs w:val="24"/>
        </w:rPr>
        <w:t>a</w:t>
      </w:r>
      <w:proofErr w:type="spellEnd"/>
      <w:r w:rsidRPr="005F0390">
        <w:rPr>
          <w:b/>
          <w:szCs w:val="24"/>
        </w:rPr>
        <w:t xml:space="preserve"> </w:t>
      </w:r>
      <w:proofErr w:type="spellStart"/>
      <w:r w:rsidRPr="005F0390">
        <w:rPr>
          <w:b/>
          <w:szCs w:val="24"/>
        </w:rPr>
        <w:t>implementacije</w:t>
      </w:r>
      <w:proofErr w:type="spellEnd"/>
      <w:r w:rsidRPr="005F0390">
        <w:rPr>
          <w:b/>
          <w:szCs w:val="24"/>
        </w:rPr>
        <w:t xml:space="preserve"> </w:t>
      </w:r>
      <w:proofErr w:type="spellStart"/>
      <w:r w:rsidRPr="005F0390">
        <w:rPr>
          <w:b/>
          <w:szCs w:val="24"/>
        </w:rPr>
        <w:t>strategije</w:t>
      </w:r>
      <w:proofErr w:type="spellEnd"/>
      <w:r w:rsidR="005A5C33" w:rsidRPr="005F0390">
        <w:rPr>
          <w:szCs w:val="24"/>
        </w:rPr>
        <w:t xml:space="preserve">: </w:t>
      </w:r>
      <w:r w:rsidR="00DD4E1D" w:rsidRPr="005F0390">
        <w:rPr>
          <w:b/>
          <w:szCs w:val="24"/>
        </w:rPr>
        <w:t xml:space="preserve">Od </w:t>
      </w:r>
      <w:proofErr w:type="spellStart"/>
      <w:r w:rsidR="00DD4E1D" w:rsidRPr="005F0390">
        <w:rPr>
          <w:b/>
          <w:szCs w:val="24"/>
        </w:rPr>
        <w:t>ukupno</w:t>
      </w:r>
      <w:proofErr w:type="spellEnd"/>
      <w:r w:rsidR="00DD4E1D" w:rsidRPr="005F0390">
        <w:rPr>
          <w:b/>
          <w:szCs w:val="24"/>
        </w:rPr>
        <w:t xml:space="preserve"> </w:t>
      </w:r>
      <w:r w:rsidR="00DD4E1D" w:rsidRPr="005F0390">
        <w:rPr>
          <w:b/>
          <w:szCs w:val="24"/>
          <w:lang w:val="bs-Latn-BA"/>
        </w:rPr>
        <w:t xml:space="preserve">Strategijom </w:t>
      </w:r>
      <w:proofErr w:type="spellStart"/>
      <w:r w:rsidR="00DD4E1D" w:rsidRPr="005F0390">
        <w:rPr>
          <w:b/>
          <w:szCs w:val="24"/>
        </w:rPr>
        <w:t>planiranih</w:t>
      </w:r>
      <w:proofErr w:type="spellEnd"/>
      <w:r w:rsidR="00DD4E1D" w:rsidRPr="005F0390">
        <w:rPr>
          <w:b/>
          <w:szCs w:val="24"/>
        </w:rPr>
        <w:t xml:space="preserve"> </w:t>
      </w:r>
      <w:proofErr w:type="spellStart"/>
      <w:r w:rsidR="00DD4E1D" w:rsidRPr="005F0390">
        <w:rPr>
          <w:b/>
          <w:szCs w:val="24"/>
        </w:rPr>
        <w:t>sredstava</w:t>
      </w:r>
      <w:proofErr w:type="spellEnd"/>
      <w:r w:rsidR="00DD4E1D" w:rsidRPr="005F0390">
        <w:rPr>
          <w:b/>
          <w:szCs w:val="24"/>
        </w:rPr>
        <w:t xml:space="preserve"> od </w:t>
      </w:r>
      <w:r w:rsidR="00B966B8" w:rsidRPr="005F0390">
        <w:rPr>
          <w:b/>
          <w:szCs w:val="24"/>
        </w:rPr>
        <w:t>33.855.502,00</w:t>
      </w:r>
      <w:r w:rsidR="00DD4E1D" w:rsidRPr="005F0390">
        <w:rPr>
          <w:b/>
          <w:szCs w:val="24"/>
        </w:rPr>
        <w:t xml:space="preserve"> KM, </w:t>
      </w:r>
      <w:proofErr w:type="spellStart"/>
      <w:r w:rsidR="00DD4E1D" w:rsidRPr="005F0390">
        <w:rPr>
          <w:b/>
          <w:szCs w:val="24"/>
        </w:rPr>
        <w:t>t</w:t>
      </w:r>
      <w:r w:rsidR="00DD4E1D" w:rsidRPr="005F0390">
        <w:rPr>
          <w:szCs w:val="24"/>
        </w:rPr>
        <w:t>okom</w:t>
      </w:r>
      <w:proofErr w:type="spellEnd"/>
      <w:r w:rsidR="00DD4E1D" w:rsidRPr="005F0390">
        <w:rPr>
          <w:szCs w:val="24"/>
        </w:rPr>
        <w:t xml:space="preserve"> </w:t>
      </w:r>
      <w:proofErr w:type="spellStart"/>
      <w:r w:rsidR="00DD4E1D" w:rsidRPr="005F0390">
        <w:rPr>
          <w:szCs w:val="24"/>
        </w:rPr>
        <w:t>perioda</w:t>
      </w:r>
      <w:proofErr w:type="spellEnd"/>
      <w:r w:rsidR="00DD4E1D" w:rsidRPr="005F0390">
        <w:rPr>
          <w:szCs w:val="24"/>
        </w:rPr>
        <w:t xml:space="preserve"> 201</w:t>
      </w:r>
      <w:r w:rsidR="009E2F3B" w:rsidRPr="005F0390">
        <w:rPr>
          <w:szCs w:val="24"/>
        </w:rPr>
        <w:t>4</w:t>
      </w:r>
      <w:r w:rsidR="00DD4E1D" w:rsidRPr="005F0390">
        <w:rPr>
          <w:szCs w:val="24"/>
        </w:rPr>
        <w:t>.-201</w:t>
      </w:r>
      <w:r w:rsidR="009E2F3B" w:rsidRPr="005F0390">
        <w:rPr>
          <w:szCs w:val="24"/>
        </w:rPr>
        <w:t>8</w:t>
      </w:r>
      <w:r w:rsidR="00DD4E1D" w:rsidRPr="005F0390">
        <w:rPr>
          <w:szCs w:val="24"/>
        </w:rPr>
        <w:t xml:space="preserve">. </w:t>
      </w:r>
      <w:proofErr w:type="spellStart"/>
      <w:r w:rsidR="00DD4E1D" w:rsidRPr="005F0390">
        <w:rPr>
          <w:szCs w:val="24"/>
        </w:rPr>
        <w:t>godine</w:t>
      </w:r>
      <w:proofErr w:type="spellEnd"/>
      <w:r w:rsidR="00DD4E1D" w:rsidRPr="005F0390">
        <w:rPr>
          <w:szCs w:val="24"/>
        </w:rPr>
        <w:t xml:space="preserve"> </w:t>
      </w:r>
      <w:proofErr w:type="spellStart"/>
      <w:r w:rsidR="00DD4E1D" w:rsidRPr="005F0390">
        <w:rPr>
          <w:b/>
          <w:szCs w:val="24"/>
        </w:rPr>
        <w:t>realizirano</w:t>
      </w:r>
      <w:proofErr w:type="spellEnd"/>
      <w:r w:rsidR="00DD4E1D" w:rsidRPr="005F0390">
        <w:rPr>
          <w:b/>
          <w:szCs w:val="24"/>
        </w:rPr>
        <w:t xml:space="preserve"> </w:t>
      </w:r>
      <w:r w:rsidR="00D52864">
        <w:rPr>
          <w:b/>
          <w:szCs w:val="24"/>
        </w:rPr>
        <w:t xml:space="preserve">je </w:t>
      </w:r>
      <w:r w:rsidR="00B966B8" w:rsidRPr="005F0390">
        <w:rPr>
          <w:b/>
          <w:szCs w:val="24"/>
        </w:rPr>
        <w:t xml:space="preserve">32,14 </w:t>
      </w:r>
      <w:r w:rsidR="00DD4E1D" w:rsidRPr="005F0390">
        <w:rPr>
          <w:b/>
          <w:szCs w:val="24"/>
        </w:rPr>
        <w:t xml:space="preserve">%. </w:t>
      </w:r>
      <w:r w:rsidR="00DD4E1D" w:rsidRPr="005F0390">
        <w:rPr>
          <w:szCs w:val="24"/>
        </w:rPr>
        <w:t xml:space="preserve"> </w:t>
      </w:r>
      <w:proofErr w:type="spellStart"/>
      <w:r w:rsidR="00DD4E1D" w:rsidRPr="005F0390">
        <w:rPr>
          <w:szCs w:val="24"/>
        </w:rPr>
        <w:t>Struktura</w:t>
      </w:r>
      <w:proofErr w:type="spellEnd"/>
      <w:r w:rsidR="00DD4E1D" w:rsidRPr="005F0390">
        <w:rPr>
          <w:szCs w:val="24"/>
        </w:rPr>
        <w:t xml:space="preserve"> </w:t>
      </w:r>
      <w:proofErr w:type="spellStart"/>
      <w:r w:rsidR="00DD4E1D" w:rsidRPr="005F0390">
        <w:rPr>
          <w:szCs w:val="24"/>
        </w:rPr>
        <w:t>planiranih</w:t>
      </w:r>
      <w:proofErr w:type="spellEnd"/>
      <w:r w:rsidR="00DD4E1D" w:rsidRPr="005F0390">
        <w:rPr>
          <w:szCs w:val="24"/>
        </w:rPr>
        <w:t xml:space="preserve"> </w:t>
      </w:r>
      <w:proofErr w:type="spellStart"/>
      <w:r w:rsidR="00DD4E1D" w:rsidRPr="005F0390">
        <w:rPr>
          <w:szCs w:val="24"/>
        </w:rPr>
        <w:t>sredstava</w:t>
      </w:r>
      <w:proofErr w:type="spellEnd"/>
      <w:r w:rsidR="00DD4E1D" w:rsidRPr="005F0390">
        <w:rPr>
          <w:szCs w:val="24"/>
        </w:rPr>
        <w:t xml:space="preserve"> je </w:t>
      </w:r>
      <w:proofErr w:type="spellStart"/>
      <w:r w:rsidR="00DD4E1D" w:rsidRPr="005F0390">
        <w:rPr>
          <w:szCs w:val="24"/>
        </w:rPr>
        <w:t>predvi</w:t>
      </w:r>
      <w:proofErr w:type="spellEnd"/>
      <w:r w:rsidR="00DD4E1D" w:rsidRPr="005F0390">
        <w:rPr>
          <w:szCs w:val="24"/>
          <w:lang w:val="bs-Latn-BA"/>
        </w:rPr>
        <w:t xml:space="preserve">đala finansiranje od </w:t>
      </w:r>
      <w:r w:rsidR="00B966B8" w:rsidRPr="005F0390">
        <w:rPr>
          <w:szCs w:val="24"/>
          <w:lang w:val="bs-Latn-BA"/>
        </w:rPr>
        <w:t>60,81</w:t>
      </w:r>
      <w:r w:rsidR="00D52864">
        <w:rPr>
          <w:szCs w:val="24"/>
          <w:lang w:val="bs-Latn-BA"/>
        </w:rPr>
        <w:t>%</w:t>
      </w:r>
      <w:r w:rsidR="00DD4E1D" w:rsidRPr="005F0390">
        <w:rPr>
          <w:szCs w:val="24"/>
          <w:lang w:val="bs-Latn-BA"/>
        </w:rPr>
        <w:t xml:space="preserve"> iz</w:t>
      </w:r>
      <w:r w:rsidR="00DD4E1D" w:rsidRPr="005F0390">
        <w:rPr>
          <w:szCs w:val="24"/>
        </w:rPr>
        <w:t xml:space="preserve"> </w:t>
      </w:r>
      <w:proofErr w:type="spellStart"/>
      <w:r w:rsidR="00DD4E1D" w:rsidRPr="005F0390">
        <w:rPr>
          <w:szCs w:val="24"/>
        </w:rPr>
        <w:t>budžet</w:t>
      </w:r>
      <w:r w:rsidR="006A37B6" w:rsidRPr="005F0390">
        <w:rPr>
          <w:szCs w:val="24"/>
        </w:rPr>
        <w:t>a</w:t>
      </w:r>
      <w:proofErr w:type="spellEnd"/>
      <w:r w:rsidR="00DD4E1D" w:rsidRPr="005F0390">
        <w:rPr>
          <w:szCs w:val="24"/>
        </w:rPr>
        <w:t xml:space="preserve"> </w:t>
      </w:r>
      <w:proofErr w:type="spellStart"/>
      <w:r w:rsidR="00DD4E1D" w:rsidRPr="005F0390">
        <w:rPr>
          <w:szCs w:val="24"/>
        </w:rPr>
        <w:t>i</w:t>
      </w:r>
      <w:proofErr w:type="spellEnd"/>
      <w:r w:rsidR="00DD4E1D" w:rsidRPr="005F0390">
        <w:rPr>
          <w:szCs w:val="24"/>
        </w:rPr>
        <w:t xml:space="preserve"> </w:t>
      </w:r>
      <w:proofErr w:type="spellStart"/>
      <w:r w:rsidR="00DD4E1D" w:rsidRPr="005F0390">
        <w:rPr>
          <w:szCs w:val="24"/>
        </w:rPr>
        <w:t>finansiranje</w:t>
      </w:r>
      <w:proofErr w:type="spellEnd"/>
      <w:r w:rsidR="00DD4E1D" w:rsidRPr="005F0390">
        <w:rPr>
          <w:szCs w:val="24"/>
        </w:rPr>
        <w:t xml:space="preserve"> </w:t>
      </w:r>
      <w:proofErr w:type="spellStart"/>
      <w:r w:rsidR="00DD4E1D" w:rsidRPr="005F0390">
        <w:rPr>
          <w:szCs w:val="24"/>
        </w:rPr>
        <w:t>iz</w:t>
      </w:r>
      <w:proofErr w:type="spellEnd"/>
      <w:r w:rsidR="00DD4E1D" w:rsidRPr="005F0390">
        <w:rPr>
          <w:szCs w:val="24"/>
        </w:rPr>
        <w:t xml:space="preserve"> </w:t>
      </w:r>
      <w:proofErr w:type="spellStart"/>
      <w:r w:rsidR="00DD4E1D" w:rsidRPr="005F0390">
        <w:rPr>
          <w:szCs w:val="24"/>
        </w:rPr>
        <w:t>eksternih</w:t>
      </w:r>
      <w:proofErr w:type="spellEnd"/>
      <w:r w:rsidR="00DD4E1D" w:rsidRPr="005F0390">
        <w:rPr>
          <w:szCs w:val="24"/>
        </w:rPr>
        <w:t xml:space="preserve"> </w:t>
      </w:r>
      <w:proofErr w:type="spellStart"/>
      <w:r w:rsidR="00DD4E1D" w:rsidRPr="005F0390">
        <w:rPr>
          <w:szCs w:val="24"/>
        </w:rPr>
        <w:t>izvora</w:t>
      </w:r>
      <w:proofErr w:type="spellEnd"/>
      <w:r w:rsidR="00DD4E1D" w:rsidRPr="005F0390">
        <w:rPr>
          <w:szCs w:val="24"/>
        </w:rPr>
        <w:t xml:space="preserve"> od </w:t>
      </w:r>
      <w:r w:rsidR="00B966B8" w:rsidRPr="005F0390">
        <w:rPr>
          <w:szCs w:val="24"/>
        </w:rPr>
        <w:t>39,19</w:t>
      </w:r>
      <w:r w:rsidR="00DD4E1D" w:rsidRPr="005F0390">
        <w:rPr>
          <w:color w:val="FF0000"/>
          <w:szCs w:val="24"/>
        </w:rPr>
        <w:t xml:space="preserve"> </w:t>
      </w:r>
      <w:r w:rsidR="00DD4E1D" w:rsidRPr="005F0390">
        <w:rPr>
          <w:szCs w:val="24"/>
        </w:rPr>
        <w:t xml:space="preserve">%. </w:t>
      </w:r>
      <w:proofErr w:type="spellStart"/>
      <w:r w:rsidR="004F262E" w:rsidRPr="005F0390">
        <w:rPr>
          <w:szCs w:val="24"/>
        </w:rPr>
        <w:t>Usljed</w:t>
      </w:r>
      <w:proofErr w:type="spellEnd"/>
      <w:r w:rsidR="004F262E" w:rsidRPr="005F0390">
        <w:rPr>
          <w:szCs w:val="24"/>
        </w:rPr>
        <w:t xml:space="preserve"> </w:t>
      </w:r>
      <w:proofErr w:type="spellStart"/>
      <w:r w:rsidR="00CA3AF1" w:rsidRPr="005F0390">
        <w:rPr>
          <w:szCs w:val="24"/>
        </w:rPr>
        <w:t>manje</w:t>
      </w:r>
      <w:proofErr w:type="spellEnd"/>
      <w:r w:rsidR="00CA3AF1" w:rsidRPr="005F0390">
        <w:rPr>
          <w:szCs w:val="24"/>
        </w:rPr>
        <w:t xml:space="preserve"> </w:t>
      </w:r>
      <w:proofErr w:type="spellStart"/>
      <w:r w:rsidR="004F262E" w:rsidRPr="005F0390">
        <w:rPr>
          <w:szCs w:val="24"/>
        </w:rPr>
        <w:t>realizacije</w:t>
      </w:r>
      <w:proofErr w:type="spellEnd"/>
      <w:r w:rsidR="004F262E" w:rsidRPr="005F0390">
        <w:rPr>
          <w:szCs w:val="24"/>
        </w:rPr>
        <w:t xml:space="preserve"> </w:t>
      </w:r>
      <w:proofErr w:type="spellStart"/>
      <w:r w:rsidR="00B12B9A" w:rsidRPr="005F0390">
        <w:rPr>
          <w:szCs w:val="24"/>
        </w:rPr>
        <w:t>sre</w:t>
      </w:r>
      <w:r w:rsidR="00F138EA" w:rsidRPr="005F0390">
        <w:rPr>
          <w:szCs w:val="24"/>
        </w:rPr>
        <w:t>d</w:t>
      </w:r>
      <w:r w:rsidR="00B12B9A" w:rsidRPr="005F0390">
        <w:rPr>
          <w:szCs w:val="24"/>
        </w:rPr>
        <w:t>stava</w:t>
      </w:r>
      <w:proofErr w:type="spellEnd"/>
      <w:r w:rsidR="00B12B9A" w:rsidRPr="005F0390">
        <w:rPr>
          <w:szCs w:val="24"/>
        </w:rPr>
        <w:t xml:space="preserve"> </w:t>
      </w:r>
      <w:proofErr w:type="spellStart"/>
      <w:r w:rsidR="003F36CA" w:rsidRPr="005F0390">
        <w:rPr>
          <w:szCs w:val="24"/>
        </w:rPr>
        <w:t>iz</w:t>
      </w:r>
      <w:proofErr w:type="spellEnd"/>
      <w:r w:rsidR="003F36CA" w:rsidRPr="005F0390">
        <w:rPr>
          <w:szCs w:val="24"/>
        </w:rPr>
        <w:t xml:space="preserve"> </w:t>
      </w:r>
      <w:proofErr w:type="spellStart"/>
      <w:r w:rsidR="003F36CA" w:rsidRPr="005F0390">
        <w:rPr>
          <w:szCs w:val="24"/>
        </w:rPr>
        <w:t>budžeta</w:t>
      </w:r>
      <w:proofErr w:type="spellEnd"/>
      <w:r w:rsidR="003F36CA" w:rsidRPr="005F0390">
        <w:rPr>
          <w:szCs w:val="24"/>
        </w:rPr>
        <w:t xml:space="preserve"> </w:t>
      </w:r>
      <w:proofErr w:type="spellStart"/>
      <w:r w:rsidR="00B12B9A" w:rsidRPr="005F0390">
        <w:rPr>
          <w:szCs w:val="24"/>
        </w:rPr>
        <w:t>te</w:t>
      </w:r>
      <w:proofErr w:type="spellEnd"/>
      <w:r w:rsidR="00B12B9A" w:rsidRPr="005F0390">
        <w:rPr>
          <w:szCs w:val="24"/>
        </w:rPr>
        <w:t xml:space="preserve"> </w:t>
      </w:r>
      <w:proofErr w:type="spellStart"/>
      <w:r w:rsidR="00B12B9A" w:rsidRPr="005F0390">
        <w:rPr>
          <w:szCs w:val="24"/>
        </w:rPr>
        <w:t>zbog</w:t>
      </w:r>
      <w:proofErr w:type="spellEnd"/>
      <w:r w:rsidR="00B12B9A" w:rsidRPr="005F0390">
        <w:rPr>
          <w:szCs w:val="24"/>
        </w:rPr>
        <w:t xml:space="preserve"> </w:t>
      </w:r>
      <w:proofErr w:type="spellStart"/>
      <w:r w:rsidR="00B12B9A" w:rsidRPr="005F0390">
        <w:rPr>
          <w:szCs w:val="24"/>
        </w:rPr>
        <w:t>vanrednog</w:t>
      </w:r>
      <w:proofErr w:type="spellEnd"/>
      <w:r w:rsidR="00B12B9A" w:rsidRPr="005F0390">
        <w:rPr>
          <w:szCs w:val="24"/>
        </w:rPr>
        <w:t xml:space="preserve"> </w:t>
      </w:r>
      <w:proofErr w:type="spellStart"/>
      <w:r w:rsidR="00B12B9A" w:rsidRPr="005F0390">
        <w:rPr>
          <w:szCs w:val="24"/>
        </w:rPr>
        <w:t>priliva</w:t>
      </w:r>
      <w:proofErr w:type="spellEnd"/>
      <w:r w:rsidR="00B12B9A" w:rsidRPr="005F0390">
        <w:rPr>
          <w:szCs w:val="24"/>
        </w:rPr>
        <w:t xml:space="preserve"> </w:t>
      </w:r>
      <w:proofErr w:type="spellStart"/>
      <w:r w:rsidR="00B12B9A" w:rsidRPr="005F0390">
        <w:rPr>
          <w:szCs w:val="24"/>
        </w:rPr>
        <w:t>iz</w:t>
      </w:r>
      <w:proofErr w:type="spellEnd"/>
      <w:r w:rsidR="00B12B9A" w:rsidRPr="005F0390">
        <w:rPr>
          <w:szCs w:val="24"/>
        </w:rPr>
        <w:t xml:space="preserve"> </w:t>
      </w:r>
      <w:proofErr w:type="spellStart"/>
      <w:r w:rsidR="00A61DE4" w:rsidRPr="005F0390">
        <w:rPr>
          <w:szCs w:val="24"/>
        </w:rPr>
        <w:t>donatorskih</w:t>
      </w:r>
      <w:proofErr w:type="spellEnd"/>
      <w:r w:rsidR="00A61DE4" w:rsidRPr="005F0390">
        <w:rPr>
          <w:szCs w:val="24"/>
        </w:rPr>
        <w:t xml:space="preserve"> </w:t>
      </w:r>
      <w:proofErr w:type="spellStart"/>
      <w:r w:rsidR="00A61DE4" w:rsidRPr="005F0390">
        <w:rPr>
          <w:szCs w:val="24"/>
        </w:rPr>
        <w:t>sredstava</w:t>
      </w:r>
      <w:proofErr w:type="spellEnd"/>
      <w:r w:rsidR="00B12B9A" w:rsidRPr="005F0390">
        <w:rPr>
          <w:szCs w:val="24"/>
        </w:rPr>
        <w:t xml:space="preserve"> </w:t>
      </w:r>
      <w:proofErr w:type="spellStart"/>
      <w:r w:rsidR="00B12B9A" w:rsidRPr="005F0390">
        <w:rPr>
          <w:szCs w:val="24"/>
        </w:rPr>
        <w:t>tokom</w:t>
      </w:r>
      <w:proofErr w:type="spellEnd"/>
      <w:r w:rsidR="00B12B9A" w:rsidRPr="005F0390">
        <w:rPr>
          <w:szCs w:val="24"/>
        </w:rPr>
        <w:t xml:space="preserve"> </w:t>
      </w:r>
      <w:proofErr w:type="spellStart"/>
      <w:r w:rsidR="005F0390" w:rsidRPr="005F0390">
        <w:rPr>
          <w:szCs w:val="24"/>
        </w:rPr>
        <w:t>perioda</w:t>
      </w:r>
      <w:proofErr w:type="spellEnd"/>
      <w:r w:rsidR="005F0390" w:rsidRPr="005F0390">
        <w:rPr>
          <w:szCs w:val="24"/>
        </w:rPr>
        <w:t xml:space="preserve"> 2014-2017</w:t>
      </w:r>
      <w:r w:rsidR="00B91C1E" w:rsidRPr="005F0390">
        <w:rPr>
          <w:szCs w:val="24"/>
        </w:rPr>
        <w:t xml:space="preserve"> </w:t>
      </w:r>
      <w:r w:rsidR="00B12B9A" w:rsidRPr="005F0390">
        <w:rPr>
          <w:szCs w:val="24"/>
        </w:rPr>
        <w:t xml:space="preserve">, </w:t>
      </w:r>
      <w:proofErr w:type="spellStart"/>
      <w:r w:rsidR="00A61DE4" w:rsidRPr="005F0390">
        <w:rPr>
          <w:b/>
          <w:szCs w:val="24"/>
        </w:rPr>
        <w:t>struktura</w:t>
      </w:r>
      <w:proofErr w:type="spellEnd"/>
      <w:r w:rsidR="00A61DE4" w:rsidRPr="005F0390">
        <w:rPr>
          <w:b/>
          <w:szCs w:val="24"/>
        </w:rPr>
        <w:t xml:space="preserve"> </w:t>
      </w:r>
      <w:proofErr w:type="spellStart"/>
      <w:r w:rsidR="004F262E" w:rsidRPr="005F0390">
        <w:rPr>
          <w:b/>
          <w:szCs w:val="24"/>
        </w:rPr>
        <w:t>realiziranih</w:t>
      </w:r>
      <w:proofErr w:type="spellEnd"/>
      <w:r w:rsidR="004F262E" w:rsidRPr="005F0390">
        <w:rPr>
          <w:b/>
          <w:szCs w:val="24"/>
        </w:rPr>
        <w:t xml:space="preserve"> </w:t>
      </w:r>
      <w:proofErr w:type="spellStart"/>
      <w:r w:rsidR="00A61DE4" w:rsidRPr="005F0390">
        <w:rPr>
          <w:b/>
          <w:szCs w:val="24"/>
        </w:rPr>
        <w:t>sredstava</w:t>
      </w:r>
      <w:proofErr w:type="spellEnd"/>
      <w:r w:rsidR="00A61DE4" w:rsidRPr="005F0390">
        <w:rPr>
          <w:b/>
          <w:szCs w:val="24"/>
        </w:rPr>
        <w:t xml:space="preserve"> </w:t>
      </w:r>
      <w:r w:rsidR="00B12B9A" w:rsidRPr="005F0390">
        <w:rPr>
          <w:b/>
          <w:szCs w:val="24"/>
        </w:rPr>
        <w:t xml:space="preserve">je </w:t>
      </w:r>
      <w:proofErr w:type="spellStart"/>
      <w:r w:rsidR="00B12B9A" w:rsidRPr="005F0390">
        <w:rPr>
          <w:b/>
          <w:szCs w:val="24"/>
        </w:rPr>
        <w:t>značajno</w:t>
      </w:r>
      <w:proofErr w:type="spellEnd"/>
      <w:r w:rsidR="00B12B9A" w:rsidRPr="005F0390">
        <w:rPr>
          <w:b/>
          <w:szCs w:val="24"/>
        </w:rPr>
        <w:t xml:space="preserve"> </w:t>
      </w:r>
      <w:proofErr w:type="spellStart"/>
      <w:r w:rsidR="00B12B9A" w:rsidRPr="005F0390">
        <w:rPr>
          <w:b/>
          <w:szCs w:val="24"/>
        </w:rPr>
        <w:t>izmjenjena</w:t>
      </w:r>
      <w:proofErr w:type="spellEnd"/>
      <w:r w:rsidR="00B12B9A" w:rsidRPr="005F0390">
        <w:rPr>
          <w:b/>
          <w:szCs w:val="24"/>
        </w:rPr>
        <w:t xml:space="preserve"> u </w:t>
      </w:r>
      <w:proofErr w:type="spellStart"/>
      <w:r w:rsidR="00B12B9A" w:rsidRPr="005F0390">
        <w:rPr>
          <w:b/>
          <w:szCs w:val="24"/>
        </w:rPr>
        <w:t>odnosu</w:t>
      </w:r>
      <w:proofErr w:type="spellEnd"/>
      <w:r w:rsidR="00B12B9A" w:rsidRPr="005F0390">
        <w:rPr>
          <w:b/>
          <w:szCs w:val="24"/>
        </w:rPr>
        <w:t xml:space="preserve"> </w:t>
      </w:r>
      <w:proofErr w:type="spellStart"/>
      <w:r w:rsidR="00B12B9A" w:rsidRPr="005F0390">
        <w:rPr>
          <w:b/>
          <w:szCs w:val="24"/>
        </w:rPr>
        <w:t>na</w:t>
      </w:r>
      <w:proofErr w:type="spellEnd"/>
      <w:r w:rsidR="00B12B9A" w:rsidRPr="005F0390">
        <w:rPr>
          <w:b/>
          <w:szCs w:val="24"/>
        </w:rPr>
        <w:t xml:space="preserve"> </w:t>
      </w:r>
      <w:proofErr w:type="spellStart"/>
      <w:r w:rsidR="00B12B9A" w:rsidRPr="005F0390">
        <w:rPr>
          <w:b/>
          <w:szCs w:val="24"/>
        </w:rPr>
        <w:t>inicijalni</w:t>
      </w:r>
      <w:proofErr w:type="spellEnd"/>
      <w:r w:rsidR="00B12B9A" w:rsidRPr="005F0390">
        <w:rPr>
          <w:b/>
          <w:szCs w:val="24"/>
        </w:rPr>
        <w:t xml:space="preserve"> plan, </w:t>
      </w:r>
      <w:proofErr w:type="spellStart"/>
      <w:r w:rsidR="00B12B9A" w:rsidRPr="005F0390">
        <w:rPr>
          <w:b/>
          <w:szCs w:val="24"/>
        </w:rPr>
        <w:t>gdje</w:t>
      </w:r>
      <w:proofErr w:type="spellEnd"/>
      <w:r w:rsidR="00B12B9A" w:rsidRPr="005F0390">
        <w:rPr>
          <w:b/>
          <w:szCs w:val="24"/>
        </w:rPr>
        <w:t xml:space="preserve"> je </w:t>
      </w:r>
      <w:r w:rsidR="00B966B8" w:rsidRPr="005F0390">
        <w:rPr>
          <w:szCs w:val="24"/>
        </w:rPr>
        <w:t>28,63</w:t>
      </w:r>
      <w:r w:rsidR="00E84FE0" w:rsidRPr="005F0390">
        <w:rPr>
          <w:szCs w:val="24"/>
        </w:rPr>
        <w:t xml:space="preserve"> </w:t>
      </w:r>
      <w:r w:rsidR="00B12B9A" w:rsidRPr="005F0390">
        <w:rPr>
          <w:b/>
          <w:szCs w:val="24"/>
        </w:rPr>
        <w:t xml:space="preserve">% </w:t>
      </w:r>
      <w:proofErr w:type="spellStart"/>
      <w:r w:rsidR="00CA3AF1" w:rsidRPr="005F0390">
        <w:rPr>
          <w:b/>
          <w:szCs w:val="24"/>
        </w:rPr>
        <w:t>ostvareno</w:t>
      </w:r>
      <w:proofErr w:type="spellEnd"/>
      <w:r w:rsidR="00CA3AF1" w:rsidRPr="005F0390">
        <w:rPr>
          <w:b/>
          <w:szCs w:val="24"/>
        </w:rPr>
        <w:t xml:space="preserve"> </w:t>
      </w:r>
      <w:proofErr w:type="spellStart"/>
      <w:r w:rsidR="00B12B9A" w:rsidRPr="005F0390">
        <w:rPr>
          <w:b/>
          <w:szCs w:val="24"/>
        </w:rPr>
        <w:t>iz</w:t>
      </w:r>
      <w:proofErr w:type="spellEnd"/>
      <w:r w:rsidR="00B12B9A" w:rsidRPr="005F0390">
        <w:rPr>
          <w:b/>
          <w:szCs w:val="24"/>
        </w:rPr>
        <w:t xml:space="preserve"> </w:t>
      </w:r>
      <w:proofErr w:type="spellStart"/>
      <w:r w:rsidR="00B12B9A" w:rsidRPr="005F0390">
        <w:rPr>
          <w:b/>
          <w:szCs w:val="24"/>
        </w:rPr>
        <w:t>vanjskih</w:t>
      </w:r>
      <w:proofErr w:type="spellEnd"/>
      <w:r w:rsidR="00B12B9A" w:rsidRPr="005F0390">
        <w:rPr>
          <w:b/>
          <w:szCs w:val="24"/>
        </w:rPr>
        <w:t xml:space="preserve"> </w:t>
      </w:r>
      <w:proofErr w:type="spellStart"/>
      <w:r w:rsidR="00B12B9A" w:rsidRPr="005F0390">
        <w:rPr>
          <w:b/>
          <w:szCs w:val="24"/>
        </w:rPr>
        <w:t>izvora</w:t>
      </w:r>
      <w:proofErr w:type="spellEnd"/>
      <w:r w:rsidR="00B12B9A" w:rsidRPr="005F0390">
        <w:rPr>
          <w:b/>
          <w:szCs w:val="24"/>
        </w:rPr>
        <w:t xml:space="preserve"> a </w:t>
      </w:r>
      <w:r w:rsidR="00B966B8" w:rsidRPr="005F0390">
        <w:rPr>
          <w:szCs w:val="24"/>
        </w:rPr>
        <w:t>71,37</w:t>
      </w:r>
      <w:r w:rsidR="00E84FE0" w:rsidRPr="005F0390">
        <w:rPr>
          <w:szCs w:val="24"/>
        </w:rPr>
        <w:t xml:space="preserve"> </w:t>
      </w:r>
      <w:r w:rsidR="00B12B9A" w:rsidRPr="005F0390">
        <w:rPr>
          <w:b/>
          <w:szCs w:val="24"/>
        </w:rPr>
        <w:t xml:space="preserve"> % </w:t>
      </w:r>
      <w:proofErr w:type="spellStart"/>
      <w:r w:rsidR="00B12B9A" w:rsidRPr="005F0390">
        <w:rPr>
          <w:b/>
          <w:szCs w:val="24"/>
        </w:rPr>
        <w:t>iz</w:t>
      </w:r>
      <w:proofErr w:type="spellEnd"/>
      <w:r w:rsidR="00B12B9A" w:rsidRPr="005F0390">
        <w:rPr>
          <w:b/>
          <w:szCs w:val="24"/>
        </w:rPr>
        <w:t xml:space="preserve"> </w:t>
      </w:r>
      <w:proofErr w:type="spellStart"/>
      <w:r w:rsidR="00B12B9A" w:rsidRPr="005F0390">
        <w:rPr>
          <w:b/>
          <w:szCs w:val="24"/>
        </w:rPr>
        <w:t>budžeta</w:t>
      </w:r>
      <w:proofErr w:type="spellEnd"/>
      <w:r w:rsidR="00B12B9A" w:rsidRPr="005F0390">
        <w:rPr>
          <w:szCs w:val="24"/>
        </w:rPr>
        <w:t xml:space="preserve">. </w:t>
      </w:r>
      <w:proofErr w:type="spellStart"/>
      <w:r w:rsidR="00B12B9A" w:rsidRPr="005F0390">
        <w:rPr>
          <w:szCs w:val="24"/>
        </w:rPr>
        <w:t>Kada</w:t>
      </w:r>
      <w:proofErr w:type="spellEnd"/>
      <w:r w:rsidR="00B12B9A" w:rsidRPr="005F0390">
        <w:rPr>
          <w:szCs w:val="24"/>
        </w:rPr>
        <w:t xml:space="preserve"> je </w:t>
      </w:r>
      <w:proofErr w:type="spellStart"/>
      <w:r w:rsidR="00B12B9A" w:rsidRPr="005F0390">
        <w:rPr>
          <w:szCs w:val="24"/>
        </w:rPr>
        <w:t>riječ</w:t>
      </w:r>
      <w:proofErr w:type="spellEnd"/>
      <w:r w:rsidR="00B12B9A" w:rsidRPr="005F0390">
        <w:rPr>
          <w:szCs w:val="24"/>
        </w:rPr>
        <w:t xml:space="preserve"> o </w:t>
      </w:r>
      <w:proofErr w:type="spellStart"/>
      <w:r w:rsidR="00B12B9A" w:rsidRPr="005F0390">
        <w:rPr>
          <w:szCs w:val="24"/>
        </w:rPr>
        <w:t>strukturi</w:t>
      </w:r>
      <w:proofErr w:type="spellEnd"/>
      <w:r w:rsidR="00B12B9A" w:rsidRPr="005F0390">
        <w:rPr>
          <w:szCs w:val="24"/>
        </w:rPr>
        <w:t xml:space="preserve"> </w:t>
      </w:r>
      <w:proofErr w:type="spellStart"/>
      <w:r w:rsidR="00CA3AF1" w:rsidRPr="005F0390">
        <w:rPr>
          <w:szCs w:val="24"/>
        </w:rPr>
        <w:t>finansiranja</w:t>
      </w:r>
      <w:proofErr w:type="spellEnd"/>
      <w:r w:rsidR="00CA3AF1" w:rsidRPr="005F0390">
        <w:rPr>
          <w:szCs w:val="24"/>
        </w:rPr>
        <w:t xml:space="preserve"> </w:t>
      </w:r>
      <w:proofErr w:type="spellStart"/>
      <w:r w:rsidR="00B12B9A" w:rsidRPr="005F0390">
        <w:rPr>
          <w:szCs w:val="24"/>
        </w:rPr>
        <w:t>po</w:t>
      </w:r>
      <w:proofErr w:type="spellEnd"/>
      <w:r w:rsidR="00B12B9A" w:rsidRPr="005F0390">
        <w:rPr>
          <w:szCs w:val="24"/>
        </w:rPr>
        <w:t xml:space="preserve"> </w:t>
      </w:r>
      <w:proofErr w:type="spellStart"/>
      <w:r w:rsidR="00B12B9A" w:rsidRPr="005F0390">
        <w:rPr>
          <w:szCs w:val="24"/>
        </w:rPr>
        <w:t>sektorima</w:t>
      </w:r>
      <w:proofErr w:type="spellEnd"/>
      <w:r w:rsidR="00B12B9A" w:rsidRPr="005F0390">
        <w:rPr>
          <w:szCs w:val="24"/>
        </w:rPr>
        <w:t xml:space="preserve"> </w:t>
      </w:r>
      <w:proofErr w:type="spellStart"/>
      <w:r w:rsidR="00B12B9A" w:rsidRPr="005F0390">
        <w:rPr>
          <w:szCs w:val="24"/>
        </w:rPr>
        <w:t>razvoja</w:t>
      </w:r>
      <w:proofErr w:type="spellEnd"/>
      <w:r w:rsidR="005B2378" w:rsidRPr="005F0390">
        <w:rPr>
          <w:szCs w:val="24"/>
        </w:rPr>
        <w:t>,</w:t>
      </w:r>
      <w:r w:rsidR="00B91C1E" w:rsidRPr="005F0390">
        <w:rPr>
          <w:szCs w:val="24"/>
        </w:rPr>
        <w:t xml:space="preserve"> </w:t>
      </w:r>
      <w:proofErr w:type="spellStart"/>
      <w:r w:rsidR="00B91C1E" w:rsidRPr="005F0390">
        <w:rPr>
          <w:szCs w:val="24"/>
        </w:rPr>
        <w:t>sektorskim</w:t>
      </w:r>
      <w:proofErr w:type="spellEnd"/>
      <w:r w:rsidR="00B12B9A" w:rsidRPr="005F0390">
        <w:rPr>
          <w:szCs w:val="24"/>
        </w:rPr>
        <w:t xml:space="preserve"> </w:t>
      </w:r>
      <w:proofErr w:type="spellStart"/>
      <w:r w:rsidR="00CA3AF1" w:rsidRPr="005F0390">
        <w:rPr>
          <w:szCs w:val="24"/>
        </w:rPr>
        <w:t>planovima</w:t>
      </w:r>
      <w:proofErr w:type="spellEnd"/>
      <w:r w:rsidR="00CA3AF1" w:rsidRPr="005F0390">
        <w:rPr>
          <w:szCs w:val="24"/>
        </w:rPr>
        <w:t xml:space="preserve"> </w:t>
      </w:r>
      <w:proofErr w:type="spellStart"/>
      <w:r w:rsidR="00CA3AF1" w:rsidRPr="005F0390">
        <w:rPr>
          <w:szCs w:val="24"/>
        </w:rPr>
        <w:t>implementacije</w:t>
      </w:r>
      <w:proofErr w:type="spellEnd"/>
      <w:r w:rsidR="00CA3AF1" w:rsidRPr="005F0390">
        <w:rPr>
          <w:szCs w:val="24"/>
        </w:rPr>
        <w:t xml:space="preserve"> je </w:t>
      </w:r>
      <w:proofErr w:type="spellStart"/>
      <w:r w:rsidR="00CA3AF1" w:rsidRPr="005F0390">
        <w:rPr>
          <w:szCs w:val="24"/>
        </w:rPr>
        <w:t>bilo</w:t>
      </w:r>
      <w:proofErr w:type="spellEnd"/>
      <w:r w:rsidR="00CA3AF1" w:rsidRPr="005F0390">
        <w:rPr>
          <w:szCs w:val="24"/>
        </w:rPr>
        <w:t xml:space="preserve"> </w:t>
      </w:r>
      <w:proofErr w:type="spellStart"/>
      <w:r w:rsidR="00CA3AF1" w:rsidRPr="005F0390">
        <w:rPr>
          <w:szCs w:val="24"/>
        </w:rPr>
        <w:t>predviđeno</w:t>
      </w:r>
      <w:proofErr w:type="spellEnd"/>
      <w:r w:rsidR="00CA3AF1" w:rsidRPr="005F0390">
        <w:rPr>
          <w:szCs w:val="24"/>
        </w:rPr>
        <w:t xml:space="preserve"> da se </w:t>
      </w:r>
      <w:proofErr w:type="spellStart"/>
      <w:r w:rsidR="00B12B9A" w:rsidRPr="005F0390">
        <w:rPr>
          <w:b/>
          <w:szCs w:val="24"/>
        </w:rPr>
        <w:t>za</w:t>
      </w:r>
      <w:proofErr w:type="spellEnd"/>
      <w:r w:rsidR="00B12B9A" w:rsidRPr="005F0390">
        <w:rPr>
          <w:b/>
          <w:szCs w:val="24"/>
        </w:rPr>
        <w:t xml:space="preserve"> </w:t>
      </w:r>
      <w:proofErr w:type="spellStart"/>
      <w:r w:rsidR="00B12B9A" w:rsidRPr="005F0390">
        <w:rPr>
          <w:b/>
          <w:szCs w:val="24"/>
        </w:rPr>
        <w:t>sektor</w:t>
      </w:r>
      <w:proofErr w:type="spellEnd"/>
      <w:r w:rsidR="00B12B9A" w:rsidRPr="005F0390">
        <w:rPr>
          <w:b/>
          <w:szCs w:val="24"/>
        </w:rPr>
        <w:t xml:space="preserve"> </w:t>
      </w:r>
      <w:proofErr w:type="spellStart"/>
      <w:r w:rsidR="00B12B9A" w:rsidRPr="005F0390">
        <w:rPr>
          <w:b/>
          <w:szCs w:val="24"/>
        </w:rPr>
        <w:t>ekonomskog</w:t>
      </w:r>
      <w:proofErr w:type="spellEnd"/>
      <w:r w:rsidR="00B12B9A" w:rsidRPr="005F0390">
        <w:rPr>
          <w:b/>
          <w:szCs w:val="24"/>
        </w:rPr>
        <w:t xml:space="preserve"> </w:t>
      </w:r>
      <w:proofErr w:type="spellStart"/>
      <w:r w:rsidR="00B12B9A" w:rsidRPr="005F0390">
        <w:rPr>
          <w:b/>
          <w:szCs w:val="24"/>
        </w:rPr>
        <w:t>razvoja</w:t>
      </w:r>
      <w:proofErr w:type="spellEnd"/>
      <w:r w:rsidR="00B12B9A" w:rsidRPr="005F0390">
        <w:rPr>
          <w:b/>
          <w:szCs w:val="24"/>
        </w:rPr>
        <w:t xml:space="preserve"> </w:t>
      </w:r>
      <w:proofErr w:type="spellStart"/>
      <w:r w:rsidR="00B12B9A" w:rsidRPr="005F0390">
        <w:rPr>
          <w:b/>
          <w:szCs w:val="24"/>
        </w:rPr>
        <w:t>izdvoji</w:t>
      </w:r>
      <w:proofErr w:type="spellEnd"/>
      <w:r w:rsidR="00B12B9A" w:rsidRPr="005F0390">
        <w:rPr>
          <w:b/>
          <w:szCs w:val="24"/>
        </w:rPr>
        <w:t xml:space="preserve"> </w:t>
      </w:r>
      <w:r w:rsidR="00B966B8" w:rsidRPr="005F0390">
        <w:rPr>
          <w:b/>
          <w:szCs w:val="24"/>
        </w:rPr>
        <w:t xml:space="preserve">22,39 </w:t>
      </w:r>
      <w:r w:rsidR="00B12B9A" w:rsidRPr="005F0390">
        <w:rPr>
          <w:b/>
          <w:szCs w:val="24"/>
        </w:rPr>
        <w:t xml:space="preserve">%, </w:t>
      </w:r>
      <w:proofErr w:type="spellStart"/>
      <w:r w:rsidR="00B12B9A" w:rsidRPr="005F0390">
        <w:rPr>
          <w:b/>
          <w:szCs w:val="24"/>
        </w:rPr>
        <w:t>za</w:t>
      </w:r>
      <w:proofErr w:type="spellEnd"/>
      <w:r w:rsidR="00B12B9A" w:rsidRPr="005F0390">
        <w:rPr>
          <w:b/>
          <w:szCs w:val="24"/>
        </w:rPr>
        <w:t xml:space="preserve"> </w:t>
      </w:r>
      <w:proofErr w:type="spellStart"/>
      <w:r w:rsidR="00B12B9A" w:rsidRPr="005F0390">
        <w:rPr>
          <w:b/>
          <w:szCs w:val="24"/>
        </w:rPr>
        <w:t>društveni</w:t>
      </w:r>
      <w:proofErr w:type="spellEnd"/>
      <w:r w:rsidR="00B12B9A" w:rsidRPr="005F0390">
        <w:rPr>
          <w:b/>
          <w:szCs w:val="24"/>
        </w:rPr>
        <w:t xml:space="preserve"> </w:t>
      </w:r>
      <w:proofErr w:type="spellStart"/>
      <w:r w:rsidR="00B12B9A" w:rsidRPr="005F0390">
        <w:rPr>
          <w:b/>
          <w:szCs w:val="24"/>
        </w:rPr>
        <w:t>sektor</w:t>
      </w:r>
      <w:proofErr w:type="spellEnd"/>
      <w:r w:rsidR="00B12B9A" w:rsidRPr="005F0390">
        <w:rPr>
          <w:b/>
          <w:szCs w:val="24"/>
        </w:rPr>
        <w:t xml:space="preserve"> </w:t>
      </w:r>
      <w:r w:rsidR="00B966B8" w:rsidRPr="005F0390">
        <w:rPr>
          <w:b/>
          <w:szCs w:val="24"/>
        </w:rPr>
        <w:t xml:space="preserve">34,94 </w:t>
      </w:r>
      <w:r w:rsidR="00B12B9A" w:rsidRPr="005F0390">
        <w:rPr>
          <w:b/>
          <w:szCs w:val="24"/>
        </w:rPr>
        <w:t xml:space="preserve">% a </w:t>
      </w:r>
      <w:proofErr w:type="spellStart"/>
      <w:r w:rsidR="00B12B9A" w:rsidRPr="005F0390">
        <w:rPr>
          <w:b/>
          <w:szCs w:val="24"/>
        </w:rPr>
        <w:t>za</w:t>
      </w:r>
      <w:proofErr w:type="spellEnd"/>
      <w:r w:rsidR="00B12B9A" w:rsidRPr="005F0390">
        <w:rPr>
          <w:b/>
          <w:szCs w:val="24"/>
        </w:rPr>
        <w:t xml:space="preserve"> </w:t>
      </w:r>
      <w:proofErr w:type="spellStart"/>
      <w:r w:rsidR="00B12B9A" w:rsidRPr="005F0390">
        <w:rPr>
          <w:b/>
          <w:szCs w:val="24"/>
        </w:rPr>
        <w:t>sektor</w:t>
      </w:r>
      <w:proofErr w:type="spellEnd"/>
      <w:r w:rsidR="00B12B9A" w:rsidRPr="005F0390">
        <w:rPr>
          <w:b/>
          <w:szCs w:val="24"/>
        </w:rPr>
        <w:t xml:space="preserve"> </w:t>
      </w:r>
      <w:proofErr w:type="spellStart"/>
      <w:r w:rsidR="00B12B9A" w:rsidRPr="005F0390">
        <w:rPr>
          <w:b/>
          <w:szCs w:val="24"/>
        </w:rPr>
        <w:t>zašite</w:t>
      </w:r>
      <w:proofErr w:type="spellEnd"/>
      <w:r w:rsidR="00B12B9A" w:rsidRPr="005F0390">
        <w:rPr>
          <w:b/>
          <w:szCs w:val="24"/>
        </w:rPr>
        <w:t xml:space="preserve"> </w:t>
      </w:r>
      <w:proofErr w:type="spellStart"/>
      <w:r w:rsidR="00B12B9A" w:rsidRPr="005F0390">
        <w:rPr>
          <w:b/>
          <w:szCs w:val="24"/>
        </w:rPr>
        <w:t>životne</w:t>
      </w:r>
      <w:proofErr w:type="spellEnd"/>
      <w:r w:rsidR="00B12B9A" w:rsidRPr="005F0390">
        <w:rPr>
          <w:b/>
          <w:szCs w:val="24"/>
        </w:rPr>
        <w:t xml:space="preserve"> </w:t>
      </w:r>
      <w:proofErr w:type="spellStart"/>
      <w:r w:rsidR="00B12B9A" w:rsidRPr="005F0390">
        <w:rPr>
          <w:b/>
          <w:szCs w:val="24"/>
        </w:rPr>
        <w:t>sredine</w:t>
      </w:r>
      <w:proofErr w:type="spellEnd"/>
      <w:r w:rsidR="00B12B9A" w:rsidRPr="005F0390">
        <w:rPr>
          <w:b/>
          <w:szCs w:val="24"/>
        </w:rPr>
        <w:t xml:space="preserve"> </w:t>
      </w:r>
      <w:r w:rsidR="00B966B8" w:rsidRPr="005F0390">
        <w:rPr>
          <w:b/>
          <w:szCs w:val="24"/>
        </w:rPr>
        <w:t>42,67</w:t>
      </w:r>
      <w:r w:rsidR="00E84FE0" w:rsidRPr="005F0390">
        <w:rPr>
          <w:szCs w:val="24"/>
        </w:rPr>
        <w:t xml:space="preserve"> </w:t>
      </w:r>
      <w:r w:rsidR="00B12B9A" w:rsidRPr="005F0390">
        <w:rPr>
          <w:b/>
          <w:szCs w:val="24"/>
        </w:rPr>
        <w:t>%</w:t>
      </w:r>
      <w:r w:rsidR="00B12B9A" w:rsidRPr="005F0390">
        <w:rPr>
          <w:szCs w:val="24"/>
        </w:rPr>
        <w:t xml:space="preserve">. </w:t>
      </w:r>
      <w:proofErr w:type="spellStart"/>
      <w:r w:rsidR="004F262E" w:rsidRPr="005F0390">
        <w:rPr>
          <w:szCs w:val="24"/>
        </w:rPr>
        <w:t>Zbog</w:t>
      </w:r>
      <w:proofErr w:type="spellEnd"/>
      <w:r w:rsidR="004F262E" w:rsidRPr="005F0390">
        <w:rPr>
          <w:szCs w:val="24"/>
        </w:rPr>
        <w:t xml:space="preserve"> </w:t>
      </w:r>
      <w:r w:rsidR="003C4538" w:rsidRPr="005F0390">
        <w:rPr>
          <w:szCs w:val="24"/>
        </w:rPr>
        <w:t xml:space="preserve"> </w:t>
      </w:r>
      <w:proofErr w:type="spellStart"/>
      <w:r w:rsidR="004F262E" w:rsidRPr="005F0390">
        <w:rPr>
          <w:szCs w:val="24"/>
        </w:rPr>
        <w:t>loše</w:t>
      </w:r>
      <w:proofErr w:type="spellEnd"/>
      <w:r w:rsidR="004F262E" w:rsidRPr="005F0390">
        <w:rPr>
          <w:szCs w:val="24"/>
        </w:rPr>
        <w:t xml:space="preserve"> </w:t>
      </w:r>
      <w:proofErr w:type="spellStart"/>
      <w:r w:rsidR="004F262E" w:rsidRPr="005F0390">
        <w:rPr>
          <w:szCs w:val="24"/>
        </w:rPr>
        <w:t>ekonomske</w:t>
      </w:r>
      <w:proofErr w:type="spellEnd"/>
      <w:r w:rsidR="004F262E" w:rsidRPr="005F0390">
        <w:rPr>
          <w:szCs w:val="24"/>
        </w:rPr>
        <w:t xml:space="preserve"> </w:t>
      </w:r>
      <w:proofErr w:type="spellStart"/>
      <w:r w:rsidR="004F262E" w:rsidRPr="005F0390">
        <w:rPr>
          <w:szCs w:val="24"/>
        </w:rPr>
        <w:t>situacije</w:t>
      </w:r>
      <w:proofErr w:type="spellEnd"/>
      <w:r w:rsidR="004F262E" w:rsidRPr="005F0390">
        <w:rPr>
          <w:szCs w:val="24"/>
        </w:rPr>
        <w:t xml:space="preserve"> </w:t>
      </w:r>
      <w:proofErr w:type="spellStart"/>
      <w:r w:rsidR="004F262E" w:rsidRPr="005F0390">
        <w:rPr>
          <w:szCs w:val="24"/>
        </w:rPr>
        <w:t>koja</w:t>
      </w:r>
      <w:proofErr w:type="spellEnd"/>
      <w:r w:rsidR="004F262E" w:rsidRPr="005F0390">
        <w:rPr>
          <w:szCs w:val="24"/>
        </w:rPr>
        <w:t xml:space="preserve"> je </w:t>
      </w:r>
      <w:proofErr w:type="spellStart"/>
      <w:r w:rsidR="004F262E" w:rsidRPr="005F0390">
        <w:rPr>
          <w:szCs w:val="24"/>
        </w:rPr>
        <w:t>uticala</w:t>
      </w:r>
      <w:proofErr w:type="spellEnd"/>
      <w:r w:rsidR="004F262E" w:rsidRPr="005F0390">
        <w:rPr>
          <w:szCs w:val="24"/>
        </w:rPr>
        <w:t xml:space="preserve"> </w:t>
      </w:r>
      <w:proofErr w:type="spellStart"/>
      <w:r w:rsidR="004F262E" w:rsidRPr="005F0390">
        <w:rPr>
          <w:szCs w:val="24"/>
        </w:rPr>
        <w:t>na</w:t>
      </w:r>
      <w:proofErr w:type="spellEnd"/>
      <w:r w:rsidR="004F262E" w:rsidRPr="005F0390">
        <w:rPr>
          <w:szCs w:val="24"/>
        </w:rPr>
        <w:t xml:space="preserve"> </w:t>
      </w:r>
      <w:proofErr w:type="spellStart"/>
      <w:r w:rsidR="004F262E" w:rsidRPr="005F0390">
        <w:rPr>
          <w:szCs w:val="24"/>
        </w:rPr>
        <w:t>obim</w:t>
      </w:r>
      <w:proofErr w:type="spellEnd"/>
      <w:r w:rsidR="004F262E" w:rsidRPr="005F0390">
        <w:rPr>
          <w:szCs w:val="24"/>
        </w:rPr>
        <w:t xml:space="preserve"> </w:t>
      </w:r>
      <w:proofErr w:type="spellStart"/>
      <w:r w:rsidR="00971EE8" w:rsidRPr="005F0390">
        <w:rPr>
          <w:szCs w:val="24"/>
        </w:rPr>
        <w:t>realizacije</w:t>
      </w:r>
      <w:proofErr w:type="spellEnd"/>
      <w:r w:rsidR="00971EE8" w:rsidRPr="005F0390">
        <w:rPr>
          <w:szCs w:val="24"/>
        </w:rPr>
        <w:t xml:space="preserve"> </w:t>
      </w:r>
      <w:proofErr w:type="spellStart"/>
      <w:r w:rsidR="00F138EA" w:rsidRPr="005F0390">
        <w:rPr>
          <w:szCs w:val="24"/>
        </w:rPr>
        <w:t>sredstava</w:t>
      </w:r>
      <w:proofErr w:type="spellEnd"/>
      <w:r w:rsidR="00F138EA" w:rsidRPr="005F0390">
        <w:rPr>
          <w:szCs w:val="24"/>
        </w:rPr>
        <w:t xml:space="preserve">, </w:t>
      </w:r>
      <w:proofErr w:type="spellStart"/>
      <w:r w:rsidR="00F138EA" w:rsidRPr="005F0390">
        <w:rPr>
          <w:b/>
          <w:szCs w:val="24"/>
        </w:rPr>
        <w:t>za</w:t>
      </w:r>
      <w:proofErr w:type="spellEnd"/>
      <w:r w:rsidR="00F138EA" w:rsidRPr="005F0390">
        <w:rPr>
          <w:b/>
          <w:szCs w:val="24"/>
        </w:rPr>
        <w:t xml:space="preserve"> </w:t>
      </w:r>
      <w:proofErr w:type="spellStart"/>
      <w:r w:rsidR="00F138EA" w:rsidRPr="005F0390">
        <w:rPr>
          <w:b/>
          <w:szCs w:val="24"/>
        </w:rPr>
        <w:t>ekonomski</w:t>
      </w:r>
      <w:proofErr w:type="spellEnd"/>
      <w:r w:rsidR="00F138EA" w:rsidRPr="005F0390">
        <w:rPr>
          <w:b/>
          <w:szCs w:val="24"/>
        </w:rPr>
        <w:t xml:space="preserve"> </w:t>
      </w:r>
      <w:proofErr w:type="spellStart"/>
      <w:r w:rsidR="00F138EA" w:rsidRPr="005F0390">
        <w:rPr>
          <w:b/>
          <w:szCs w:val="24"/>
        </w:rPr>
        <w:t>sektor</w:t>
      </w:r>
      <w:proofErr w:type="spellEnd"/>
      <w:r w:rsidR="00F138EA" w:rsidRPr="005F0390">
        <w:rPr>
          <w:b/>
          <w:szCs w:val="24"/>
        </w:rPr>
        <w:t xml:space="preserve"> je </w:t>
      </w:r>
      <w:proofErr w:type="spellStart"/>
      <w:r w:rsidR="00F138EA" w:rsidRPr="005F0390">
        <w:rPr>
          <w:b/>
          <w:szCs w:val="24"/>
        </w:rPr>
        <w:t>izdvojeno</w:t>
      </w:r>
      <w:proofErr w:type="spellEnd"/>
      <w:r w:rsidR="00F138EA" w:rsidRPr="005F0390">
        <w:rPr>
          <w:b/>
          <w:szCs w:val="24"/>
        </w:rPr>
        <w:t xml:space="preserve">  </w:t>
      </w:r>
      <w:r w:rsidR="00B966B8" w:rsidRPr="005F0390">
        <w:rPr>
          <w:b/>
          <w:szCs w:val="24"/>
        </w:rPr>
        <w:t>20,98</w:t>
      </w:r>
      <w:r w:rsidR="00E84FE0" w:rsidRPr="005F0390">
        <w:rPr>
          <w:szCs w:val="24"/>
        </w:rPr>
        <w:t xml:space="preserve"> </w:t>
      </w:r>
      <w:r w:rsidR="00F138EA" w:rsidRPr="005F0390">
        <w:rPr>
          <w:b/>
          <w:szCs w:val="24"/>
        </w:rPr>
        <w:t xml:space="preserve"> %, </w:t>
      </w:r>
      <w:proofErr w:type="spellStart"/>
      <w:r w:rsidR="00F138EA" w:rsidRPr="005F0390">
        <w:rPr>
          <w:b/>
          <w:szCs w:val="24"/>
        </w:rPr>
        <w:t>za</w:t>
      </w:r>
      <w:proofErr w:type="spellEnd"/>
      <w:r w:rsidR="00F138EA" w:rsidRPr="005F0390">
        <w:rPr>
          <w:b/>
          <w:szCs w:val="24"/>
        </w:rPr>
        <w:t xml:space="preserve"> </w:t>
      </w:r>
      <w:proofErr w:type="spellStart"/>
      <w:r w:rsidR="00F138EA" w:rsidRPr="005F0390">
        <w:rPr>
          <w:b/>
          <w:szCs w:val="24"/>
        </w:rPr>
        <w:t>sektor</w:t>
      </w:r>
      <w:proofErr w:type="spellEnd"/>
      <w:r w:rsidR="00F138EA" w:rsidRPr="005F0390">
        <w:rPr>
          <w:b/>
          <w:szCs w:val="24"/>
        </w:rPr>
        <w:t xml:space="preserve"> </w:t>
      </w:r>
      <w:proofErr w:type="spellStart"/>
      <w:r w:rsidR="00F138EA" w:rsidRPr="005F0390">
        <w:rPr>
          <w:b/>
          <w:szCs w:val="24"/>
        </w:rPr>
        <w:t>društvenog</w:t>
      </w:r>
      <w:proofErr w:type="spellEnd"/>
      <w:r w:rsidR="00F138EA" w:rsidRPr="005F0390">
        <w:rPr>
          <w:b/>
          <w:szCs w:val="24"/>
        </w:rPr>
        <w:t xml:space="preserve"> </w:t>
      </w:r>
      <w:proofErr w:type="spellStart"/>
      <w:r w:rsidR="00F138EA" w:rsidRPr="005F0390">
        <w:rPr>
          <w:b/>
          <w:szCs w:val="24"/>
        </w:rPr>
        <w:t>razvoja</w:t>
      </w:r>
      <w:proofErr w:type="spellEnd"/>
      <w:r w:rsidR="00F138EA" w:rsidRPr="005F0390">
        <w:rPr>
          <w:b/>
          <w:szCs w:val="24"/>
        </w:rPr>
        <w:t xml:space="preserve"> </w:t>
      </w:r>
      <w:r w:rsidR="00B966B8" w:rsidRPr="005F0390">
        <w:rPr>
          <w:b/>
          <w:szCs w:val="24"/>
        </w:rPr>
        <w:t>37,13</w:t>
      </w:r>
      <w:r w:rsidR="00E84FE0" w:rsidRPr="005F0390">
        <w:rPr>
          <w:szCs w:val="24"/>
        </w:rPr>
        <w:t xml:space="preserve"> </w:t>
      </w:r>
      <w:r w:rsidR="00F138EA" w:rsidRPr="005F0390">
        <w:rPr>
          <w:b/>
          <w:szCs w:val="24"/>
        </w:rPr>
        <w:t xml:space="preserve"> % </w:t>
      </w:r>
      <w:proofErr w:type="spellStart"/>
      <w:r w:rsidR="00F138EA" w:rsidRPr="005F0390">
        <w:rPr>
          <w:b/>
          <w:szCs w:val="24"/>
        </w:rPr>
        <w:t>te</w:t>
      </w:r>
      <w:proofErr w:type="spellEnd"/>
      <w:r w:rsidR="00F138EA" w:rsidRPr="005F0390">
        <w:rPr>
          <w:b/>
          <w:szCs w:val="24"/>
        </w:rPr>
        <w:t xml:space="preserve"> </w:t>
      </w:r>
      <w:proofErr w:type="spellStart"/>
      <w:r w:rsidR="00F138EA" w:rsidRPr="005F0390">
        <w:rPr>
          <w:b/>
          <w:szCs w:val="24"/>
        </w:rPr>
        <w:t>za</w:t>
      </w:r>
      <w:proofErr w:type="spellEnd"/>
      <w:r w:rsidR="00F138EA" w:rsidRPr="005F0390">
        <w:rPr>
          <w:b/>
          <w:szCs w:val="24"/>
        </w:rPr>
        <w:t xml:space="preserve"> </w:t>
      </w:r>
      <w:proofErr w:type="spellStart"/>
      <w:r w:rsidR="00F138EA" w:rsidRPr="005F0390">
        <w:rPr>
          <w:b/>
          <w:szCs w:val="24"/>
        </w:rPr>
        <w:t>sektor</w:t>
      </w:r>
      <w:proofErr w:type="spellEnd"/>
      <w:r w:rsidR="00F138EA" w:rsidRPr="005F0390">
        <w:rPr>
          <w:b/>
          <w:szCs w:val="24"/>
        </w:rPr>
        <w:t xml:space="preserve"> </w:t>
      </w:r>
      <w:proofErr w:type="spellStart"/>
      <w:r w:rsidR="00F138EA" w:rsidRPr="005F0390">
        <w:rPr>
          <w:b/>
          <w:szCs w:val="24"/>
        </w:rPr>
        <w:t>zaštite</w:t>
      </w:r>
      <w:proofErr w:type="spellEnd"/>
      <w:r w:rsidR="00F138EA" w:rsidRPr="005F0390">
        <w:rPr>
          <w:b/>
          <w:szCs w:val="24"/>
        </w:rPr>
        <w:t xml:space="preserve"> </w:t>
      </w:r>
      <w:proofErr w:type="spellStart"/>
      <w:r w:rsidR="00F138EA" w:rsidRPr="005F0390">
        <w:rPr>
          <w:b/>
          <w:szCs w:val="24"/>
        </w:rPr>
        <w:t>životne</w:t>
      </w:r>
      <w:proofErr w:type="spellEnd"/>
      <w:r w:rsidR="00F138EA" w:rsidRPr="005F0390">
        <w:rPr>
          <w:b/>
          <w:szCs w:val="24"/>
        </w:rPr>
        <w:t xml:space="preserve"> </w:t>
      </w:r>
      <w:proofErr w:type="spellStart"/>
      <w:r w:rsidR="00F138EA" w:rsidRPr="005F0390">
        <w:rPr>
          <w:b/>
          <w:szCs w:val="24"/>
        </w:rPr>
        <w:t>sredine</w:t>
      </w:r>
      <w:proofErr w:type="spellEnd"/>
      <w:r w:rsidR="00F138EA" w:rsidRPr="005F0390">
        <w:rPr>
          <w:b/>
          <w:szCs w:val="24"/>
        </w:rPr>
        <w:t xml:space="preserve"> </w:t>
      </w:r>
      <w:r w:rsidR="00B966B8" w:rsidRPr="005F0390">
        <w:rPr>
          <w:b/>
          <w:szCs w:val="24"/>
        </w:rPr>
        <w:t>33,91</w:t>
      </w:r>
      <w:r w:rsidR="00E84FE0" w:rsidRPr="005F0390">
        <w:rPr>
          <w:szCs w:val="24"/>
        </w:rPr>
        <w:t xml:space="preserve"> </w:t>
      </w:r>
      <w:r w:rsidR="00F138EA" w:rsidRPr="005F0390">
        <w:rPr>
          <w:b/>
          <w:szCs w:val="24"/>
        </w:rPr>
        <w:t>%</w:t>
      </w:r>
      <w:r w:rsidR="00F138EA" w:rsidRPr="005F0390">
        <w:rPr>
          <w:szCs w:val="24"/>
        </w:rPr>
        <w:t xml:space="preserve">. </w:t>
      </w:r>
    </w:p>
    <w:p w:rsidR="008A40C6" w:rsidRPr="005F0390" w:rsidRDefault="007035DB" w:rsidP="008A40C6">
      <w:pPr>
        <w:jc w:val="both"/>
        <w:rPr>
          <w:strike/>
          <w:szCs w:val="24"/>
        </w:rPr>
      </w:pPr>
      <w:proofErr w:type="spellStart"/>
      <w:r w:rsidRPr="007F400F">
        <w:rPr>
          <w:b/>
          <w:szCs w:val="24"/>
        </w:rPr>
        <w:t>Obrazloženje</w:t>
      </w:r>
      <w:proofErr w:type="spellEnd"/>
      <w:r w:rsidRPr="007F400F">
        <w:rPr>
          <w:b/>
          <w:szCs w:val="24"/>
        </w:rPr>
        <w:t xml:space="preserve"> </w:t>
      </w:r>
      <w:proofErr w:type="spellStart"/>
      <w:r w:rsidRPr="007F400F">
        <w:rPr>
          <w:b/>
          <w:szCs w:val="24"/>
        </w:rPr>
        <w:t>prognoze</w:t>
      </w:r>
      <w:proofErr w:type="spellEnd"/>
      <w:r w:rsidRPr="007F400F">
        <w:rPr>
          <w:b/>
          <w:szCs w:val="24"/>
        </w:rPr>
        <w:t xml:space="preserve"> </w:t>
      </w:r>
      <w:proofErr w:type="spellStart"/>
      <w:r w:rsidRPr="007F400F">
        <w:rPr>
          <w:b/>
          <w:szCs w:val="24"/>
        </w:rPr>
        <w:t>sredstava</w:t>
      </w:r>
      <w:proofErr w:type="spellEnd"/>
      <w:r w:rsidR="00165EFC" w:rsidRPr="007F400F">
        <w:rPr>
          <w:b/>
          <w:szCs w:val="24"/>
        </w:rPr>
        <w:t xml:space="preserve"> </w:t>
      </w:r>
      <w:proofErr w:type="spellStart"/>
      <w:r w:rsidR="00165EFC" w:rsidRPr="007F400F">
        <w:rPr>
          <w:b/>
          <w:szCs w:val="24"/>
        </w:rPr>
        <w:t>za</w:t>
      </w:r>
      <w:proofErr w:type="spellEnd"/>
      <w:r w:rsidR="00165EFC" w:rsidRPr="007F400F">
        <w:rPr>
          <w:b/>
          <w:szCs w:val="24"/>
        </w:rPr>
        <w:t xml:space="preserve"> period 201</w:t>
      </w:r>
      <w:r w:rsidR="007F09F5">
        <w:rPr>
          <w:b/>
          <w:szCs w:val="24"/>
        </w:rPr>
        <w:t>9</w:t>
      </w:r>
      <w:r w:rsidR="00165EFC" w:rsidRPr="007F400F">
        <w:rPr>
          <w:b/>
          <w:szCs w:val="24"/>
        </w:rPr>
        <w:t>.-202</w:t>
      </w:r>
      <w:r w:rsidR="007F09F5">
        <w:rPr>
          <w:b/>
          <w:szCs w:val="24"/>
        </w:rPr>
        <w:t>3</w:t>
      </w:r>
      <w:r w:rsidR="00324937" w:rsidRPr="007F400F">
        <w:rPr>
          <w:b/>
          <w:szCs w:val="24"/>
        </w:rPr>
        <w:t xml:space="preserve">. </w:t>
      </w:r>
      <w:proofErr w:type="spellStart"/>
      <w:r w:rsidR="00324937" w:rsidRPr="007F400F">
        <w:rPr>
          <w:b/>
          <w:szCs w:val="24"/>
        </w:rPr>
        <w:t>godine</w:t>
      </w:r>
      <w:proofErr w:type="spellEnd"/>
      <w:r w:rsidRPr="007F400F">
        <w:rPr>
          <w:b/>
          <w:szCs w:val="24"/>
        </w:rPr>
        <w:t xml:space="preserve">: </w:t>
      </w:r>
      <w:proofErr w:type="spellStart"/>
      <w:r w:rsidRPr="007F400F">
        <w:rPr>
          <w:szCs w:val="24"/>
        </w:rPr>
        <w:t>Prognoza</w:t>
      </w:r>
      <w:proofErr w:type="spellEnd"/>
      <w:r w:rsidRPr="007F400F">
        <w:rPr>
          <w:szCs w:val="24"/>
        </w:rPr>
        <w:t xml:space="preserve"> </w:t>
      </w:r>
      <w:proofErr w:type="spellStart"/>
      <w:r w:rsidRPr="007F400F">
        <w:rPr>
          <w:szCs w:val="24"/>
        </w:rPr>
        <w:t>finansiranja</w:t>
      </w:r>
      <w:proofErr w:type="spellEnd"/>
      <w:r w:rsidRPr="007F400F">
        <w:rPr>
          <w:szCs w:val="24"/>
        </w:rPr>
        <w:t xml:space="preserve"> </w:t>
      </w:r>
      <w:proofErr w:type="spellStart"/>
      <w:r w:rsidRPr="007F400F">
        <w:rPr>
          <w:szCs w:val="24"/>
        </w:rPr>
        <w:t>razvojne</w:t>
      </w:r>
      <w:proofErr w:type="spellEnd"/>
      <w:r w:rsidRPr="007F400F">
        <w:rPr>
          <w:szCs w:val="24"/>
        </w:rPr>
        <w:t xml:space="preserve"> </w:t>
      </w:r>
      <w:proofErr w:type="spellStart"/>
      <w:r w:rsidRPr="007F400F">
        <w:rPr>
          <w:szCs w:val="24"/>
        </w:rPr>
        <w:t>strategije</w:t>
      </w:r>
      <w:proofErr w:type="spellEnd"/>
      <w:r w:rsidRPr="007F400F">
        <w:rPr>
          <w:szCs w:val="24"/>
        </w:rPr>
        <w:t xml:space="preserve"> </w:t>
      </w:r>
      <w:proofErr w:type="spellStart"/>
      <w:r w:rsidRPr="007F400F">
        <w:rPr>
          <w:szCs w:val="24"/>
        </w:rPr>
        <w:t>za</w:t>
      </w:r>
      <w:proofErr w:type="spellEnd"/>
      <w:r w:rsidRPr="007F400F">
        <w:rPr>
          <w:szCs w:val="24"/>
        </w:rPr>
        <w:t xml:space="preserve"> period 201</w:t>
      </w:r>
      <w:r w:rsidR="007F09F5">
        <w:rPr>
          <w:szCs w:val="24"/>
        </w:rPr>
        <w:t>9</w:t>
      </w:r>
      <w:r w:rsidRPr="007F400F">
        <w:rPr>
          <w:szCs w:val="24"/>
        </w:rPr>
        <w:t>. -202</w:t>
      </w:r>
      <w:r w:rsidR="007F09F5">
        <w:rPr>
          <w:szCs w:val="24"/>
        </w:rPr>
        <w:t>3</w:t>
      </w:r>
      <w:r w:rsidRPr="007F400F">
        <w:rPr>
          <w:szCs w:val="24"/>
        </w:rPr>
        <w:t xml:space="preserve">. </w:t>
      </w:r>
      <w:proofErr w:type="spellStart"/>
      <w:r w:rsidRPr="007F400F">
        <w:rPr>
          <w:szCs w:val="24"/>
        </w:rPr>
        <w:t>godine</w:t>
      </w:r>
      <w:proofErr w:type="spellEnd"/>
      <w:r w:rsidRPr="007F400F">
        <w:rPr>
          <w:szCs w:val="24"/>
        </w:rPr>
        <w:t xml:space="preserve"> </w:t>
      </w:r>
      <w:proofErr w:type="spellStart"/>
      <w:r w:rsidRPr="007F400F">
        <w:rPr>
          <w:szCs w:val="24"/>
        </w:rPr>
        <w:t>pripremljena</w:t>
      </w:r>
      <w:proofErr w:type="spellEnd"/>
      <w:r w:rsidRPr="007F400F">
        <w:rPr>
          <w:szCs w:val="24"/>
        </w:rPr>
        <w:t xml:space="preserve"> je </w:t>
      </w:r>
      <w:proofErr w:type="spellStart"/>
      <w:r w:rsidRPr="007F400F">
        <w:rPr>
          <w:szCs w:val="24"/>
        </w:rPr>
        <w:t>uzimajući</w:t>
      </w:r>
      <w:proofErr w:type="spellEnd"/>
      <w:r w:rsidRPr="007F400F">
        <w:rPr>
          <w:szCs w:val="24"/>
        </w:rPr>
        <w:t xml:space="preserve"> u </w:t>
      </w:r>
      <w:r w:rsidRPr="00B31C12">
        <w:rPr>
          <w:szCs w:val="24"/>
          <w:lang w:val="bs-Latn-BA"/>
        </w:rPr>
        <w:t>obzir</w:t>
      </w:r>
      <w:r w:rsidRPr="007F400F">
        <w:rPr>
          <w:szCs w:val="24"/>
        </w:rPr>
        <w:t xml:space="preserve"> (</w:t>
      </w:r>
      <w:proofErr w:type="spellStart"/>
      <w:r w:rsidRPr="007F400F">
        <w:rPr>
          <w:szCs w:val="24"/>
        </w:rPr>
        <w:t>i</w:t>
      </w:r>
      <w:proofErr w:type="spellEnd"/>
      <w:r w:rsidRPr="007F400F">
        <w:rPr>
          <w:szCs w:val="24"/>
        </w:rPr>
        <w:t xml:space="preserve">) </w:t>
      </w:r>
      <w:r w:rsidR="00324937" w:rsidRPr="007F400F">
        <w:rPr>
          <w:szCs w:val="24"/>
        </w:rPr>
        <w:t>tr</w:t>
      </w:r>
      <w:r w:rsidR="004F262E" w:rsidRPr="007F400F">
        <w:rPr>
          <w:szCs w:val="24"/>
        </w:rPr>
        <w:t>e</w:t>
      </w:r>
      <w:r w:rsidR="00324937" w:rsidRPr="007F400F">
        <w:rPr>
          <w:szCs w:val="24"/>
        </w:rPr>
        <w:t xml:space="preserve">nd </w:t>
      </w:r>
      <w:proofErr w:type="spellStart"/>
      <w:r w:rsidRPr="007F400F">
        <w:rPr>
          <w:szCs w:val="24"/>
        </w:rPr>
        <w:t>izdvojen</w:t>
      </w:r>
      <w:r w:rsidR="00324937" w:rsidRPr="007F400F">
        <w:rPr>
          <w:szCs w:val="24"/>
        </w:rPr>
        <w:t>ih</w:t>
      </w:r>
      <w:proofErr w:type="spellEnd"/>
      <w:r w:rsidR="00324937" w:rsidRPr="007F400F">
        <w:rPr>
          <w:szCs w:val="24"/>
        </w:rPr>
        <w:t xml:space="preserve"> </w:t>
      </w:r>
      <w:proofErr w:type="spellStart"/>
      <w:r w:rsidRPr="007F400F">
        <w:rPr>
          <w:szCs w:val="24"/>
        </w:rPr>
        <w:t>sredstava</w:t>
      </w:r>
      <w:proofErr w:type="spellEnd"/>
      <w:r w:rsidRPr="007F400F">
        <w:rPr>
          <w:szCs w:val="24"/>
        </w:rPr>
        <w:t xml:space="preserve"> u </w:t>
      </w:r>
      <w:proofErr w:type="spellStart"/>
      <w:r w:rsidRPr="007F400F">
        <w:rPr>
          <w:szCs w:val="24"/>
        </w:rPr>
        <w:t>periodu</w:t>
      </w:r>
      <w:proofErr w:type="spellEnd"/>
      <w:r w:rsidRPr="007F400F">
        <w:rPr>
          <w:szCs w:val="24"/>
        </w:rPr>
        <w:t xml:space="preserve"> 201</w:t>
      </w:r>
      <w:r w:rsidR="007F09F5">
        <w:rPr>
          <w:szCs w:val="24"/>
        </w:rPr>
        <w:t>4</w:t>
      </w:r>
      <w:r w:rsidRPr="007F400F">
        <w:rPr>
          <w:szCs w:val="24"/>
        </w:rPr>
        <w:t>.-201</w:t>
      </w:r>
      <w:r w:rsidR="007F09F5">
        <w:rPr>
          <w:szCs w:val="24"/>
        </w:rPr>
        <w:t>8</w:t>
      </w:r>
      <w:r w:rsidRPr="007F400F">
        <w:rPr>
          <w:szCs w:val="24"/>
        </w:rPr>
        <w:t xml:space="preserve">. </w:t>
      </w:r>
      <w:proofErr w:type="spellStart"/>
      <w:r w:rsidRPr="007F400F">
        <w:rPr>
          <w:szCs w:val="24"/>
        </w:rPr>
        <w:t>godine</w:t>
      </w:r>
      <w:proofErr w:type="spellEnd"/>
      <w:r w:rsidRPr="007F400F">
        <w:rPr>
          <w:szCs w:val="24"/>
        </w:rPr>
        <w:t xml:space="preserve">; (ii) </w:t>
      </w:r>
      <w:r w:rsidR="00E10BB8">
        <w:rPr>
          <w:szCs w:val="24"/>
        </w:rPr>
        <w:t>bud</w:t>
      </w:r>
      <w:r w:rsidR="00E10BB8">
        <w:rPr>
          <w:szCs w:val="24"/>
          <w:lang w:val="bs-Latn-BA"/>
        </w:rPr>
        <w:t>žet za 201</w:t>
      </w:r>
      <w:r w:rsidR="007F09F5">
        <w:rPr>
          <w:szCs w:val="24"/>
          <w:lang w:val="bs-Latn-BA"/>
        </w:rPr>
        <w:t>8</w:t>
      </w:r>
      <w:r w:rsidR="00E10BB8">
        <w:rPr>
          <w:szCs w:val="24"/>
          <w:lang w:val="bs-Latn-BA"/>
        </w:rPr>
        <w:t xml:space="preserve"> i projekcije DOB-a </w:t>
      </w:r>
      <w:r w:rsidRPr="007F400F">
        <w:rPr>
          <w:szCs w:val="24"/>
        </w:rPr>
        <w:t>za 201</w:t>
      </w:r>
      <w:r w:rsidR="007F09F5">
        <w:rPr>
          <w:szCs w:val="24"/>
        </w:rPr>
        <w:t>8</w:t>
      </w:r>
      <w:r w:rsidRPr="007F400F">
        <w:rPr>
          <w:szCs w:val="24"/>
        </w:rPr>
        <w:t xml:space="preserve">. </w:t>
      </w:r>
      <w:proofErr w:type="spellStart"/>
      <w:r w:rsidR="00E10BB8">
        <w:rPr>
          <w:szCs w:val="24"/>
        </w:rPr>
        <w:t>te</w:t>
      </w:r>
      <w:proofErr w:type="spellEnd"/>
      <w:r w:rsidR="00E10BB8">
        <w:rPr>
          <w:szCs w:val="24"/>
        </w:rPr>
        <w:t xml:space="preserve"> 201</w:t>
      </w:r>
      <w:r w:rsidR="007F09F5">
        <w:rPr>
          <w:szCs w:val="24"/>
        </w:rPr>
        <w:t>9</w:t>
      </w:r>
      <w:r w:rsidR="00E10BB8">
        <w:rPr>
          <w:szCs w:val="24"/>
        </w:rPr>
        <w:t xml:space="preserve">. </w:t>
      </w:r>
      <w:proofErr w:type="spellStart"/>
      <w:r w:rsidRPr="007F400F">
        <w:rPr>
          <w:szCs w:val="24"/>
        </w:rPr>
        <w:t>godinu</w:t>
      </w:r>
      <w:proofErr w:type="spellEnd"/>
      <w:r w:rsidRPr="007F400F">
        <w:rPr>
          <w:szCs w:val="24"/>
        </w:rPr>
        <w:t xml:space="preserve"> (iii) </w:t>
      </w:r>
      <w:proofErr w:type="spellStart"/>
      <w:r w:rsidRPr="007F400F">
        <w:rPr>
          <w:szCs w:val="24"/>
        </w:rPr>
        <w:t>očekivana</w:t>
      </w:r>
      <w:proofErr w:type="spellEnd"/>
      <w:r w:rsidRPr="007F400F">
        <w:rPr>
          <w:szCs w:val="24"/>
        </w:rPr>
        <w:t xml:space="preserve"> </w:t>
      </w:r>
      <w:proofErr w:type="spellStart"/>
      <w:r w:rsidRPr="007F400F">
        <w:rPr>
          <w:szCs w:val="24"/>
        </w:rPr>
        <w:t>dopunska</w:t>
      </w:r>
      <w:proofErr w:type="spellEnd"/>
      <w:r w:rsidRPr="007F400F">
        <w:rPr>
          <w:szCs w:val="24"/>
        </w:rPr>
        <w:t xml:space="preserve"> </w:t>
      </w:r>
      <w:proofErr w:type="spellStart"/>
      <w:r w:rsidRPr="007F400F">
        <w:rPr>
          <w:szCs w:val="24"/>
        </w:rPr>
        <w:t>sreds</w:t>
      </w:r>
      <w:r w:rsidR="001F6560">
        <w:rPr>
          <w:szCs w:val="24"/>
        </w:rPr>
        <w:t>tva</w:t>
      </w:r>
      <w:proofErr w:type="spellEnd"/>
      <w:r w:rsidR="001F6560">
        <w:rPr>
          <w:szCs w:val="24"/>
        </w:rPr>
        <w:t xml:space="preserve"> </w:t>
      </w:r>
      <w:proofErr w:type="spellStart"/>
      <w:r w:rsidR="001F6560">
        <w:rPr>
          <w:szCs w:val="24"/>
        </w:rPr>
        <w:t>iz</w:t>
      </w:r>
      <w:proofErr w:type="spellEnd"/>
      <w:r w:rsidR="001F6560">
        <w:rPr>
          <w:szCs w:val="24"/>
        </w:rPr>
        <w:t xml:space="preserve"> </w:t>
      </w:r>
      <w:proofErr w:type="spellStart"/>
      <w:r w:rsidR="001F6560">
        <w:rPr>
          <w:szCs w:val="24"/>
        </w:rPr>
        <w:t>ostalih</w:t>
      </w:r>
      <w:proofErr w:type="spellEnd"/>
      <w:r w:rsidR="001F6560">
        <w:rPr>
          <w:szCs w:val="24"/>
        </w:rPr>
        <w:t xml:space="preserve"> </w:t>
      </w:r>
      <w:proofErr w:type="spellStart"/>
      <w:r w:rsidR="001F6560">
        <w:rPr>
          <w:szCs w:val="24"/>
        </w:rPr>
        <w:t>eksternih</w:t>
      </w:r>
      <w:proofErr w:type="spellEnd"/>
      <w:r w:rsidR="001F6560">
        <w:rPr>
          <w:szCs w:val="24"/>
        </w:rPr>
        <w:t xml:space="preserve"> </w:t>
      </w:r>
      <w:proofErr w:type="spellStart"/>
      <w:r w:rsidR="001F6560">
        <w:rPr>
          <w:szCs w:val="24"/>
        </w:rPr>
        <w:t>izvora</w:t>
      </w:r>
      <w:proofErr w:type="spellEnd"/>
      <w:r w:rsidR="008A40C6" w:rsidRPr="005F0390">
        <w:rPr>
          <w:strike/>
          <w:szCs w:val="24"/>
        </w:rPr>
        <w:t xml:space="preserve">. </w:t>
      </w:r>
    </w:p>
    <w:p w:rsidR="00E608B2" w:rsidRPr="005F0390" w:rsidRDefault="007035DB" w:rsidP="00882AD2">
      <w:pPr>
        <w:jc w:val="both"/>
        <w:rPr>
          <w:szCs w:val="24"/>
        </w:rPr>
      </w:pPr>
      <w:r w:rsidRPr="009547FE">
        <w:rPr>
          <w:szCs w:val="24"/>
        </w:rPr>
        <w:t xml:space="preserve">U </w:t>
      </w:r>
      <w:proofErr w:type="spellStart"/>
      <w:r w:rsidRPr="009547FE">
        <w:rPr>
          <w:szCs w:val="24"/>
        </w:rPr>
        <w:t>period</w:t>
      </w:r>
      <w:r w:rsidR="00165EFC" w:rsidRPr="009547FE">
        <w:rPr>
          <w:szCs w:val="24"/>
        </w:rPr>
        <w:t>u</w:t>
      </w:r>
      <w:proofErr w:type="spellEnd"/>
      <w:r w:rsidRPr="009547FE">
        <w:rPr>
          <w:szCs w:val="24"/>
        </w:rPr>
        <w:t xml:space="preserve"> </w:t>
      </w:r>
      <w:r w:rsidR="0035616A" w:rsidRPr="009547FE">
        <w:rPr>
          <w:szCs w:val="24"/>
        </w:rPr>
        <w:t>201</w:t>
      </w:r>
      <w:r w:rsidR="007F09F5" w:rsidRPr="009547FE">
        <w:rPr>
          <w:szCs w:val="24"/>
        </w:rPr>
        <w:t>4</w:t>
      </w:r>
      <w:r w:rsidR="0035616A" w:rsidRPr="009547FE">
        <w:rPr>
          <w:szCs w:val="24"/>
        </w:rPr>
        <w:t>.-201</w:t>
      </w:r>
      <w:r w:rsidR="007F09F5" w:rsidRPr="009547FE">
        <w:rPr>
          <w:szCs w:val="24"/>
        </w:rPr>
        <w:t>8</w:t>
      </w:r>
      <w:r w:rsidR="0035616A" w:rsidRPr="009547FE">
        <w:rPr>
          <w:szCs w:val="24"/>
        </w:rPr>
        <w:t xml:space="preserve">. </w:t>
      </w:r>
      <w:proofErr w:type="spellStart"/>
      <w:r w:rsidR="0035616A" w:rsidRPr="009547FE">
        <w:rPr>
          <w:szCs w:val="24"/>
        </w:rPr>
        <w:t>godine</w:t>
      </w:r>
      <w:proofErr w:type="spellEnd"/>
      <w:r w:rsidR="0035616A" w:rsidRPr="009547FE">
        <w:rPr>
          <w:szCs w:val="24"/>
        </w:rPr>
        <w:t xml:space="preserve">, </w:t>
      </w:r>
      <w:proofErr w:type="spellStart"/>
      <w:r w:rsidR="00882AD2" w:rsidRPr="009547FE">
        <w:rPr>
          <w:szCs w:val="24"/>
        </w:rPr>
        <w:t>za</w:t>
      </w:r>
      <w:proofErr w:type="spellEnd"/>
      <w:r w:rsidR="00882AD2" w:rsidRPr="009547FE">
        <w:rPr>
          <w:szCs w:val="24"/>
        </w:rPr>
        <w:t xml:space="preserve"> </w:t>
      </w:r>
      <w:proofErr w:type="spellStart"/>
      <w:r w:rsidR="00882AD2" w:rsidRPr="009547FE">
        <w:rPr>
          <w:szCs w:val="24"/>
        </w:rPr>
        <w:t>implementaciju</w:t>
      </w:r>
      <w:proofErr w:type="spellEnd"/>
      <w:r w:rsidR="00882AD2" w:rsidRPr="009547FE">
        <w:rPr>
          <w:szCs w:val="24"/>
        </w:rPr>
        <w:t xml:space="preserve"> </w:t>
      </w:r>
      <w:proofErr w:type="spellStart"/>
      <w:r w:rsidR="00882AD2" w:rsidRPr="009547FE">
        <w:rPr>
          <w:szCs w:val="24"/>
        </w:rPr>
        <w:t>strategije</w:t>
      </w:r>
      <w:proofErr w:type="spellEnd"/>
      <w:r w:rsidR="00882AD2" w:rsidRPr="009547FE">
        <w:rPr>
          <w:szCs w:val="24"/>
        </w:rPr>
        <w:t xml:space="preserve"> se </w:t>
      </w:r>
      <w:proofErr w:type="spellStart"/>
      <w:r w:rsidR="0035616A" w:rsidRPr="009547FE">
        <w:rPr>
          <w:szCs w:val="24"/>
        </w:rPr>
        <w:t>ukupno</w:t>
      </w:r>
      <w:proofErr w:type="spellEnd"/>
      <w:r w:rsidR="0035616A" w:rsidRPr="009547FE">
        <w:rPr>
          <w:szCs w:val="24"/>
        </w:rPr>
        <w:t xml:space="preserve"> </w:t>
      </w:r>
      <w:proofErr w:type="spellStart"/>
      <w:r w:rsidR="0035616A" w:rsidRPr="009547FE">
        <w:rPr>
          <w:szCs w:val="24"/>
        </w:rPr>
        <w:t>izdvojilo</w:t>
      </w:r>
      <w:proofErr w:type="spellEnd"/>
      <w:r w:rsidR="0035616A" w:rsidRPr="009547FE">
        <w:rPr>
          <w:szCs w:val="24"/>
        </w:rPr>
        <w:t xml:space="preserve"> </w:t>
      </w:r>
      <w:r w:rsidR="009547FE" w:rsidRPr="009547FE">
        <w:rPr>
          <w:szCs w:val="24"/>
        </w:rPr>
        <w:t>12.804.442,00</w:t>
      </w:r>
      <w:r w:rsidR="00E84FE0" w:rsidRPr="009547FE">
        <w:rPr>
          <w:szCs w:val="24"/>
        </w:rPr>
        <w:t xml:space="preserve"> </w:t>
      </w:r>
      <w:r w:rsidR="0035616A" w:rsidRPr="009547FE">
        <w:rPr>
          <w:szCs w:val="24"/>
        </w:rPr>
        <w:t xml:space="preserve">KM </w:t>
      </w:r>
      <w:proofErr w:type="spellStart"/>
      <w:r w:rsidR="0035616A" w:rsidRPr="009547FE">
        <w:rPr>
          <w:szCs w:val="24"/>
        </w:rPr>
        <w:t>iz</w:t>
      </w:r>
      <w:proofErr w:type="spellEnd"/>
      <w:r w:rsidR="0035616A" w:rsidRPr="009547FE">
        <w:rPr>
          <w:szCs w:val="24"/>
        </w:rPr>
        <w:t xml:space="preserve"> </w:t>
      </w:r>
      <w:proofErr w:type="spellStart"/>
      <w:r w:rsidR="0035616A" w:rsidRPr="009547FE">
        <w:rPr>
          <w:szCs w:val="24"/>
        </w:rPr>
        <w:t>budžetskih</w:t>
      </w:r>
      <w:proofErr w:type="spellEnd"/>
      <w:r w:rsidR="0035616A" w:rsidRPr="009547FE">
        <w:rPr>
          <w:szCs w:val="24"/>
        </w:rPr>
        <w:t xml:space="preserve"> </w:t>
      </w:r>
      <w:proofErr w:type="spellStart"/>
      <w:r w:rsidR="0035616A" w:rsidRPr="009547FE">
        <w:rPr>
          <w:szCs w:val="24"/>
        </w:rPr>
        <w:t>i</w:t>
      </w:r>
      <w:proofErr w:type="spellEnd"/>
      <w:r w:rsidR="0035616A" w:rsidRPr="009547FE">
        <w:rPr>
          <w:szCs w:val="24"/>
        </w:rPr>
        <w:t xml:space="preserve"> </w:t>
      </w:r>
      <w:proofErr w:type="spellStart"/>
      <w:r w:rsidR="0035616A" w:rsidRPr="009547FE">
        <w:rPr>
          <w:szCs w:val="24"/>
        </w:rPr>
        <w:t>eksternih</w:t>
      </w:r>
      <w:proofErr w:type="spellEnd"/>
      <w:r w:rsidR="0035616A" w:rsidRPr="009547FE">
        <w:rPr>
          <w:szCs w:val="24"/>
        </w:rPr>
        <w:t xml:space="preserve"> </w:t>
      </w:r>
      <w:proofErr w:type="spellStart"/>
      <w:r w:rsidR="0035616A" w:rsidRPr="009547FE">
        <w:rPr>
          <w:szCs w:val="24"/>
        </w:rPr>
        <w:t>izvora</w:t>
      </w:r>
      <w:proofErr w:type="spellEnd"/>
      <w:r w:rsidR="0035616A" w:rsidRPr="009547FE">
        <w:rPr>
          <w:szCs w:val="24"/>
        </w:rPr>
        <w:t xml:space="preserve">, </w:t>
      </w:r>
      <w:proofErr w:type="spellStart"/>
      <w:r w:rsidR="0035616A" w:rsidRPr="009547FE">
        <w:rPr>
          <w:szCs w:val="24"/>
        </w:rPr>
        <w:t>i</w:t>
      </w:r>
      <w:proofErr w:type="spellEnd"/>
      <w:r w:rsidR="0035616A" w:rsidRPr="009547FE">
        <w:rPr>
          <w:szCs w:val="24"/>
        </w:rPr>
        <w:t xml:space="preserve"> to </w:t>
      </w:r>
      <w:proofErr w:type="spellStart"/>
      <w:r w:rsidR="0035616A" w:rsidRPr="009547FE">
        <w:rPr>
          <w:b/>
          <w:szCs w:val="24"/>
        </w:rPr>
        <w:t>prosječno</w:t>
      </w:r>
      <w:proofErr w:type="spellEnd"/>
      <w:r w:rsidR="0035616A" w:rsidRPr="009547FE">
        <w:rPr>
          <w:b/>
          <w:szCs w:val="24"/>
        </w:rPr>
        <w:t xml:space="preserve"> </w:t>
      </w:r>
      <w:r w:rsidR="009547FE" w:rsidRPr="009547FE">
        <w:rPr>
          <w:b/>
          <w:szCs w:val="24"/>
        </w:rPr>
        <w:t>3.</w:t>
      </w:r>
      <w:r w:rsidR="009547FE" w:rsidRPr="005F0390">
        <w:rPr>
          <w:b/>
          <w:szCs w:val="24"/>
        </w:rPr>
        <w:t>201.110,50</w:t>
      </w:r>
      <w:r w:rsidR="0035616A" w:rsidRPr="005F0390">
        <w:rPr>
          <w:b/>
          <w:szCs w:val="24"/>
        </w:rPr>
        <w:t xml:space="preserve">. KM </w:t>
      </w:r>
      <w:proofErr w:type="spellStart"/>
      <w:r w:rsidR="0035616A" w:rsidRPr="005F0390">
        <w:rPr>
          <w:b/>
          <w:szCs w:val="24"/>
        </w:rPr>
        <w:t>godišnje</w:t>
      </w:r>
      <w:proofErr w:type="spellEnd"/>
      <w:r w:rsidR="0035616A" w:rsidRPr="005F0390">
        <w:rPr>
          <w:szCs w:val="24"/>
        </w:rPr>
        <w:t xml:space="preserve">. </w:t>
      </w:r>
      <w:proofErr w:type="spellStart"/>
      <w:r w:rsidR="0035616A" w:rsidRPr="005F0390">
        <w:rPr>
          <w:szCs w:val="24"/>
        </w:rPr>
        <w:t>Iz</w:t>
      </w:r>
      <w:proofErr w:type="spellEnd"/>
      <w:r w:rsidR="0035616A" w:rsidRPr="005F0390">
        <w:rPr>
          <w:szCs w:val="24"/>
        </w:rPr>
        <w:t xml:space="preserve"> </w:t>
      </w:r>
      <w:proofErr w:type="spellStart"/>
      <w:r w:rsidR="0035616A" w:rsidRPr="005F0390">
        <w:rPr>
          <w:szCs w:val="24"/>
        </w:rPr>
        <w:t>budžeta</w:t>
      </w:r>
      <w:proofErr w:type="spellEnd"/>
      <w:r w:rsidR="0035616A" w:rsidRPr="005F0390">
        <w:rPr>
          <w:szCs w:val="24"/>
        </w:rPr>
        <w:t xml:space="preserve"> je </w:t>
      </w:r>
      <w:proofErr w:type="spellStart"/>
      <w:r w:rsidR="0035616A" w:rsidRPr="005F0390">
        <w:rPr>
          <w:szCs w:val="24"/>
        </w:rPr>
        <w:t>izdvojeno</w:t>
      </w:r>
      <w:proofErr w:type="spellEnd"/>
      <w:r w:rsidR="0035616A" w:rsidRPr="005F0390">
        <w:rPr>
          <w:szCs w:val="24"/>
        </w:rPr>
        <w:t xml:space="preserve"> </w:t>
      </w:r>
      <w:proofErr w:type="spellStart"/>
      <w:r w:rsidR="0035616A" w:rsidRPr="005F0390">
        <w:rPr>
          <w:szCs w:val="24"/>
        </w:rPr>
        <w:t>ukupno</w:t>
      </w:r>
      <w:proofErr w:type="spellEnd"/>
      <w:r w:rsidR="0035616A" w:rsidRPr="005F0390">
        <w:rPr>
          <w:szCs w:val="24"/>
        </w:rPr>
        <w:t xml:space="preserve"> </w:t>
      </w:r>
      <w:r w:rsidR="009547FE" w:rsidRPr="005F0390">
        <w:rPr>
          <w:szCs w:val="24"/>
        </w:rPr>
        <w:t xml:space="preserve">11.496.533 </w:t>
      </w:r>
      <w:r w:rsidR="0035616A" w:rsidRPr="005F0390">
        <w:rPr>
          <w:szCs w:val="24"/>
        </w:rPr>
        <w:t xml:space="preserve">KM, </w:t>
      </w:r>
      <w:proofErr w:type="spellStart"/>
      <w:r w:rsidR="0035616A" w:rsidRPr="005F0390">
        <w:rPr>
          <w:szCs w:val="24"/>
        </w:rPr>
        <w:t>godišnje</w:t>
      </w:r>
      <w:proofErr w:type="spellEnd"/>
      <w:r w:rsidR="0035616A" w:rsidRPr="005F0390">
        <w:rPr>
          <w:szCs w:val="24"/>
        </w:rPr>
        <w:t xml:space="preserve"> u </w:t>
      </w:r>
      <w:proofErr w:type="spellStart"/>
      <w:r w:rsidR="0035616A" w:rsidRPr="005F0390">
        <w:rPr>
          <w:szCs w:val="24"/>
        </w:rPr>
        <w:t>prosjeku</w:t>
      </w:r>
      <w:proofErr w:type="spellEnd"/>
      <w:r w:rsidR="0035616A" w:rsidRPr="005F0390">
        <w:rPr>
          <w:szCs w:val="24"/>
        </w:rPr>
        <w:t xml:space="preserve"> </w:t>
      </w:r>
      <w:r w:rsidR="009547FE" w:rsidRPr="005F0390">
        <w:rPr>
          <w:szCs w:val="24"/>
        </w:rPr>
        <w:t xml:space="preserve">2.874.135,25 </w:t>
      </w:r>
      <w:r w:rsidR="003C4538" w:rsidRPr="005F0390">
        <w:rPr>
          <w:szCs w:val="24"/>
        </w:rPr>
        <w:t>KM</w:t>
      </w:r>
      <w:r w:rsidR="0035616A" w:rsidRPr="005F0390">
        <w:rPr>
          <w:szCs w:val="24"/>
        </w:rPr>
        <w:t>,</w:t>
      </w:r>
      <w:r w:rsidR="00D52864">
        <w:rPr>
          <w:szCs w:val="24"/>
        </w:rPr>
        <w:t xml:space="preserve"> a</w:t>
      </w:r>
      <w:r w:rsidR="0035616A" w:rsidRPr="005F0390">
        <w:rPr>
          <w:szCs w:val="24"/>
        </w:rPr>
        <w:t xml:space="preserve"> </w:t>
      </w:r>
      <w:proofErr w:type="spellStart"/>
      <w:r w:rsidR="0035616A" w:rsidRPr="005F0390">
        <w:rPr>
          <w:szCs w:val="24"/>
        </w:rPr>
        <w:t>iz</w:t>
      </w:r>
      <w:proofErr w:type="spellEnd"/>
      <w:r w:rsidR="0035616A" w:rsidRPr="005F0390">
        <w:rPr>
          <w:szCs w:val="24"/>
        </w:rPr>
        <w:t xml:space="preserve"> </w:t>
      </w:r>
      <w:proofErr w:type="spellStart"/>
      <w:r w:rsidR="0035616A" w:rsidRPr="005F0390">
        <w:rPr>
          <w:szCs w:val="24"/>
        </w:rPr>
        <w:t>eksternih</w:t>
      </w:r>
      <w:proofErr w:type="spellEnd"/>
      <w:r w:rsidR="0035616A" w:rsidRPr="005F0390">
        <w:rPr>
          <w:szCs w:val="24"/>
        </w:rPr>
        <w:t xml:space="preserve"> </w:t>
      </w:r>
      <w:proofErr w:type="spellStart"/>
      <w:r w:rsidR="0035616A" w:rsidRPr="005F0390">
        <w:rPr>
          <w:szCs w:val="24"/>
        </w:rPr>
        <w:t>izvora</w:t>
      </w:r>
      <w:proofErr w:type="spellEnd"/>
      <w:r w:rsidR="0035616A" w:rsidRPr="005F0390">
        <w:rPr>
          <w:szCs w:val="24"/>
        </w:rPr>
        <w:t xml:space="preserve"> </w:t>
      </w:r>
      <w:r w:rsidR="009547FE" w:rsidRPr="005F0390">
        <w:rPr>
          <w:szCs w:val="24"/>
        </w:rPr>
        <w:t>1.307.909,00</w:t>
      </w:r>
      <w:r w:rsidR="003C4538" w:rsidRPr="005F0390">
        <w:rPr>
          <w:szCs w:val="24"/>
        </w:rPr>
        <w:t xml:space="preserve"> </w:t>
      </w:r>
      <w:r w:rsidR="0035616A" w:rsidRPr="005F0390">
        <w:rPr>
          <w:szCs w:val="24"/>
        </w:rPr>
        <w:t xml:space="preserve"> KM, </w:t>
      </w:r>
      <w:proofErr w:type="spellStart"/>
      <w:r w:rsidR="0035616A" w:rsidRPr="005F0390">
        <w:rPr>
          <w:szCs w:val="24"/>
        </w:rPr>
        <w:t>prosječno</w:t>
      </w:r>
      <w:proofErr w:type="spellEnd"/>
      <w:r w:rsidR="0035616A" w:rsidRPr="005F0390">
        <w:rPr>
          <w:szCs w:val="24"/>
        </w:rPr>
        <w:t xml:space="preserve"> </w:t>
      </w:r>
      <w:r w:rsidR="009547FE" w:rsidRPr="005F0390">
        <w:rPr>
          <w:szCs w:val="24"/>
        </w:rPr>
        <w:t>326.977,25KM</w:t>
      </w:r>
      <w:r w:rsidR="003C4538" w:rsidRPr="005F0390">
        <w:rPr>
          <w:szCs w:val="24"/>
        </w:rPr>
        <w:t>.</w:t>
      </w:r>
      <w:r w:rsidR="0035616A" w:rsidRPr="005F0390">
        <w:rPr>
          <w:szCs w:val="24"/>
        </w:rPr>
        <w:t xml:space="preserve"> </w:t>
      </w:r>
    </w:p>
    <w:p w:rsidR="00317746" w:rsidRPr="0001638A" w:rsidRDefault="00E608B2" w:rsidP="00882AD2">
      <w:pPr>
        <w:jc w:val="both"/>
        <w:rPr>
          <w:szCs w:val="24"/>
          <w:u w:val="single"/>
        </w:rPr>
      </w:pPr>
      <w:r w:rsidRPr="005F0390">
        <w:rPr>
          <w:szCs w:val="24"/>
        </w:rPr>
        <w:t xml:space="preserve">U </w:t>
      </w:r>
      <w:proofErr w:type="spellStart"/>
      <w:r w:rsidRPr="005F0390">
        <w:rPr>
          <w:szCs w:val="24"/>
        </w:rPr>
        <w:t>pogledu</w:t>
      </w:r>
      <w:proofErr w:type="spellEnd"/>
      <w:r w:rsidRPr="005F0390">
        <w:rPr>
          <w:szCs w:val="24"/>
        </w:rPr>
        <w:t xml:space="preserve"> </w:t>
      </w:r>
      <w:proofErr w:type="spellStart"/>
      <w:r w:rsidRPr="005F0390">
        <w:rPr>
          <w:szCs w:val="24"/>
        </w:rPr>
        <w:t>budžeta</w:t>
      </w:r>
      <w:proofErr w:type="spellEnd"/>
      <w:r w:rsidRPr="005F0390">
        <w:rPr>
          <w:szCs w:val="24"/>
        </w:rPr>
        <w:t xml:space="preserve"> </w:t>
      </w:r>
      <w:proofErr w:type="spellStart"/>
      <w:r w:rsidRPr="005F0390">
        <w:rPr>
          <w:szCs w:val="24"/>
        </w:rPr>
        <w:t>za</w:t>
      </w:r>
      <w:proofErr w:type="spellEnd"/>
      <w:r w:rsidRPr="005F0390">
        <w:rPr>
          <w:szCs w:val="24"/>
        </w:rPr>
        <w:t xml:space="preserve"> </w:t>
      </w:r>
      <w:proofErr w:type="spellStart"/>
      <w:r w:rsidR="006A37B6" w:rsidRPr="005F0390">
        <w:rPr>
          <w:szCs w:val="24"/>
        </w:rPr>
        <w:t>teku</w:t>
      </w:r>
      <w:proofErr w:type="spellEnd"/>
      <w:r w:rsidR="006A37B6" w:rsidRPr="005F0390">
        <w:rPr>
          <w:szCs w:val="24"/>
          <w:lang w:val="bs-Latn-BA"/>
        </w:rPr>
        <w:t xml:space="preserve">ću </w:t>
      </w:r>
      <w:r w:rsidRPr="005F0390">
        <w:rPr>
          <w:szCs w:val="24"/>
        </w:rPr>
        <w:t>201</w:t>
      </w:r>
      <w:r w:rsidR="007F09F5" w:rsidRPr="005F0390">
        <w:rPr>
          <w:szCs w:val="24"/>
        </w:rPr>
        <w:t>8</w:t>
      </w:r>
      <w:r w:rsidR="003C4538" w:rsidRPr="005F0390">
        <w:rPr>
          <w:szCs w:val="24"/>
        </w:rPr>
        <w:t xml:space="preserve">. </w:t>
      </w:r>
      <w:proofErr w:type="spellStart"/>
      <w:r w:rsidR="003C4538" w:rsidRPr="005F0390">
        <w:rPr>
          <w:szCs w:val="24"/>
        </w:rPr>
        <w:t>godinu</w:t>
      </w:r>
      <w:proofErr w:type="spellEnd"/>
      <w:r w:rsidRPr="005F0390">
        <w:rPr>
          <w:szCs w:val="24"/>
        </w:rPr>
        <w:t xml:space="preserve">, </w:t>
      </w:r>
      <w:proofErr w:type="spellStart"/>
      <w:r w:rsidRPr="005F0390">
        <w:rPr>
          <w:szCs w:val="24"/>
        </w:rPr>
        <w:t>za</w:t>
      </w:r>
      <w:proofErr w:type="spellEnd"/>
      <w:r w:rsidRPr="005F0390">
        <w:rPr>
          <w:szCs w:val="24"/>
        </w:rPr>
        <w:t xml:space="preserve"> </w:t>
      </w:r>
      <w:proofErr w:type="spellStart"/>
      <w:r w:rsidRPr="005F0390">
        <w:rPr>
          <w:szCs w:val="24"/>
        </w:rPr>
        <w:t>implement</w:t>
      </w:r>
      <w:r w:rsidR="00290D1D" w:rsidRPr="005F0390">
        <w:rPr>
          <w:szCs w:val="24"/>
        </w:rPr>
        <w:t>a</w:t>
      </w:r>
      <w:r w:rsidRPr="005F0390">
        <w:rPr>
          <w:szCs w:val="24"/>
        </w:rPr>
        <w:t>ciju</w:t>
      </w:r>
      <w:proofErr w:type="spellEnd"/>
      <w:r w:rsidRPr="005F0390">
        <w:rPr>
          <w:szCs w:val="24"/>
        </w:rPr>
        <w:t xml:space="preserve"> </w:t>
      </w:r>
      <w:proofErr w:type="spellStart"/>
      <w:r w:rsidRPr="005F0390">
        <w:rPr>
          <w:szCs w:val="24"/>
        </w:rPr>
        <w:t>strategije</w:t>
      </w:r>
      <w:proofErr w:type="spellEnd"/>
      <w:r w:rsidRPr="005F0390">
        <w:rPr>
          <w:szCs w:val="24"/>
        </w:rPr>
        <w:t xml:space="preserve"> je </w:t>
      </w:r>
      <w:proofErr w:type="spellStart"/>
      <w:r w:rsidRPr="005F0390">
        <w:rPr>
          <w:szCs w:val="24"/>
        </w:rPr>
        <w:t>okvirno</w:t>
      </w:r>
      <w:proofErr w:type="spellEnd"/>
      <w:r w:rsidRPr="005F0390">
        <w:rPr>
          <w:szCs w:val="24"/>
        </w:rPr>
        <w:t xml:space="preserve"> </w:t>
      </w:r>
      <w:proofErr w:type="spellStart"/>
      <w:r w:rsidRPr="005F0390">
        <w:rPr>
          <w:szCs w:val="24"/>
        </w:rPr>
        <w:t>predviđeno</w:t>
      </w:r>
      <w:proofErr w:type="spellEnd"/>
      <w:r w:rsidRPr="005F0390">
        <w:rPr>
          <w:szCs w:val="24"/>
        </w:rPr>
        <w:t xml:space="preserve"> </w:t>
      </w:r>
      <w:r w:rsidR="00B966B8" w:rsidRPr="005F0390">
        <w:rPr>
          <w:szCs w:val="24"/>
          <w:lang w:val="bs-Latn-BA"/>
        </w:rPr>
        <w:t xml:space="preserve">2.121.400,00 </w:t>
      </w:r>
      <w:r w:rsidRPr="005F0390">
        <w:rPr>
          <w:szCs w:val="24"/>
        </w:rPr>
        <w:t xml:space="preserve"> KM</w:t>
      </w:r>
      <w:r w:rsidR="005B2378" w:rsidRPr="005F0390">
        <w:rPr>
          <w:szCs w:val="24"/>
        </w:rPr>
        <w:t xml:space="preserve"> </w:t>
      </w:r>
      <w:proofErr w:type="spellStart"/>
      <w:r w:rsidR="005B2378" w:rsidRPr="005F0390">
        <w:rPr>
          <w:szCs w:val="24"/>
        </w:rPr>
        <w:t>dok</w:t>
      </w:r>
      <w:proofErr w:type="spellEnd"/>
      <w:r w:rsidR="005B2378" w:rsidRPr="005F0390">
        <w:rPr>
          <w:szCs w:val="24"/>
        </w:rPr>
        <w:t xml:space="preserve"> je </w:t>
      </w:r>
      <w:proofErr w:type="spellStart"/>
      <w:r w:rsidR="005B2378" w:rsidRPr="005F0390">
        <w:rPr>
          <w:szCs w:val="24"/>
        </w:rPr>
        <w:t>iz</w:t>
      </w:r>
      <w:proofErr w:type="spellEnd"/>
      <w:r w:rsidR="005B2378" w:rsidRPr="005F0390">
        <w:rPr>
          <w:szCs w:val="24"/>
        </w:rPr>
        <w:t xml:space="preserve"> </w:t>
      </w:r>
      <w:proofErr w:type="spellStart"/>
      <w:r w:rsidR="005B2378" w:rsidRPr="005F0390">
        <w:rPr>
          <w:szCs w:val="24"/>
        </w:rPr>
        <w:t>eksternih</w:t>
      </w:r>
      <w:proofErr w:type="spellEnd"/>
      <w:r w:rsidR="005B2378" w:rsidRPr="005F0390">
        <w:rPr>
          <w:szCs w:val="24"/>
        </w:rPr>
        <w:t xml:space="preserve"> </w:t>
      </w:r>
      <w:proofErr w:type="spellStart"/>
      <w:r w:rsidR="005B2378" w:rsidRPr="005F0390">
        <w:rPr>
          <w:szCs w:val="24"/>
        </w:rPr>
        <w:t>izvora</w:t>
      </w:r>
      <w:proofErr w:type="spellEnd"/>
      <w:r w:rsidR="005B2378" w:rsidRPr="005F0390">
        <w:rPr>
          <w:szCs w:val="24"/>
        </w:rPr>
        <w:t xml:space="preserve"> </w:t>
      </w:r>
      <w:proofErr w:type="spellStart"/>
      <w:r w:rsidR="005B2378" w:rsidRPr="005F0390">
        <w:rPr>
          <w:szCs w:val="24"/>
        </w:rPr>
        <w:t>predvi</w:t>
      </w:r>
      <w:proofErr w:type="spellEnd"/>
      <w:r w:rsidR="005B2378" w:rsidRPr="005F0390">
        <w:rPr>
          <w:szCs w:val="24"/>
          <w:lang w:val="bs-Latn-BA"/>
        </w:rPr>
        <w:t>đeno</w:t>
      </w:r>
      <w:r w:rsidR="008E659D">
        <w:rPr>
          <w:szCs w:val="24"/>
          <w:lang w:val="bs-Latn-BA"/>
        </w:rPr>
        <w:t xml:space="preserve"> 1.350.000</w:t>
      </w:r>
      <w:r w:rsidR="005B2378" w:rsidRPr="005F0390">
        <w:rPr>
          <w:szCs w:val="24"/>
          <w:lang w:val="bs-Latn-BA"/>
        </w:rPr>
        <w:t xml:space="preserve"> KM</w:t>
      </w:r>
      <w:r w:rsidR="00290D1D" w:rsidRPr="005F0390">
        <w:rPr>
          <w:szCs w:val="24"/>
        </w:rPr>
        <w:t>.</w:t>
      </w:r>
      <w:r w:rsidRPr="005F0390">
        <w:rPr>
          <w:szCs w:val="24"/>
        </w:rPr>
        <w:t xml:space="preserve"> </w:t>
      </w:r>
      <w:r w:rsidR="005B2378" w:rsidRPr="008E659D">
        <w:rPr>
          <w:szCs w:val="24"/>
        </w:rPr>
        <w:t xml:space="preserve">Na </w:t>
      </w:r>
      <w:proofErr w:type="spellStart"/>
      <w:r w:rsidR="005B2378" w:rsidRPr="008E659D">
        <w:rPr>
          <w:szCs w:val="24"/>
        </w:rPr>
        <w:t>osnovu</w:t>
      </w:r>
      <w:proofErr w:type="spellEnd"/>
      <w:r w:rsidR="005B2378" w:rsidRPr="008E659D">
        <w:rPr>
          <w:szCs w:val="24"/>
        </w:rPr>
        <w:t xml:space="preserve"> </w:t>
      </w:r>
      <w:proofErr w:type="spellStart"/>
      <w:r w:rsidR="005B2378" w:rsidRPr="008E659D">
        <w:rPr>
          <w:szCs w:val="24"/>
        </w:rPr>
        <w:t>operativnih</w:t>
      </w:r>
      <w:proofErr w:type="spellEnd"/>
      <w:r w:rsidR="005B2378" w:rsidRPr="008E659D">
        <w:rPr>
          <w:szCs w:val="24"/>
        </w:rPr>
        <w:t xml:space="preserve"> </w:t>
      </w:r>
      <w:proofErr w:type="spellStart"/>
      <w:r w:rsidR="005B2378" w:rsidRPr="008E659D">
        <w:rPr>
          <w:szCs w:val="24"/>
        </w:rPr>
        <w:t>evidencija</w:t>
      </w:r>
      <w:proofErr w:type="spellEnd"/>
      <w:r w:rsidR="005B2378" w:rsidRPr="008E659D">
        <w:rPr>
          <w:szCs w:val="24"/>
        </w:rPr>
        <w:t xml:space="preserve">, </w:t>
      </w:r>
      <w:proofErr w:type="spellStart"/>
      <w:r w:rsidR="005B2378" w:rsidRPr="008E659D">
        <w:rPr>
          <w:szCs w:val="24"/>
        </w:rPr>
        <w:t>iz</w:t>
      </w:r>
      <w:proofErr w:type="spellEnd"/>
      <w:r w:rsidR="005B2378" w:rsidRPr="008E659D">
        <w:rPr>
          <w:szCs w:val="24"/>
        </w:rPr>
        <w:t xml:space="preserve"> </w:t>
      </w:r>
      <w:proofErr w:type="spellStart"/>
      <w:r w:rsidR="005B2378" w:rsidRPr="008E659D">
        <w:rPr>
          <w:szCs w:val="24"/>
        </w:rPr>
        <w:t>budžeta</w:t>
      </w:r>
      <w:proofErr w:type="spellEnd"/>
      <w:r w:rsidR="005B2378" w:rsidRPr="008E659D">
        <w:rPr>
          <w:szCs w:val="24"/>
        </w:rPr>
        <w:t xml:space="preserve"> 201</w:t>
      </w:r>
      <w:r w:rsidR="007F09F5" w:rsidRPr="008E659D">
        <w:rPr>
          <w:szCs w:val="24"/>
        </w:rPr>
        <w:t>8</w:t>
      </w:r>
      <w:r w:rsidR="005B2378" w:rsidRPr="008E659D">
        <w:rPr>
          <w:szCs w:val="24"/>
        </w:rPr>
        <w:t xml:space="preserve"> je do </w:t>
      </w:r>
      <w:proofErr w:type="spellStart"/>
      <w:r w:rsidR="005B2378" w:rsidRPr="008E659D">
        <w:rPr>
          <w:szCs w:val="24"/>
        </w:rPr>
        <w:t>izrade</w:t>
      </w:r>
      <w:proofErr w:type="spellEnd"/>
      <w:r w:rsidR="005B2378" w:rsidRPr="008E659D">
        <w:rPr>
          <w:szCs w:val="24"/>
        </w:rPr>
        <w:t xml:space="preserve"> </w:t>
      </w:r>
      <w:proofErr w:type="spellStart"/>
      <w:r w:rsidR="005B2378" w:rsidRPr="008E659D">
        <w:rPr>
          <w:szCs w:val="24"/>
        </w:rPr>
        <w:t>ove</w:t>
      </w:r>
      <w:proofErr w:type="spellEnd"/>
      <w:r w:rsidR="005B2378" w:rsidRPr="008E659D">
        <w:rPr>
          <w:szCs w:val="24"/>
        </w:rPr>
        <w:t xml:space="preserve"> </w:t>
      </w:r>
      <w:proofErr w:type="spellStart"/>
      <w:r w:rsidR="005B2378" w:rsidRPr="008E659D">
        <w:rPr>
          <w:szCs w:val="24"/>
        </w:rPr>
        <w:t>procjene</w:t>
      </w:r>
      <w:proofErr w:type="spellEnd"/>
      <w:r w:rsidR="00D52864" w:rsidRPr="008E659D">
        <w:rPr>
          <w:szCs w:val="24"/>
        </w:rPr>
        <w:t xml:space="preserve"> (</w:t>
      </w:r>
      <w:proofErr w:type="spellStart"/>
      <w:r w:rsidR="008E659D" w:rsidRPr="008E659D">
        <w:rPr>
          <w:szCs w:val="24"/>
        </w:rPr>
        <w:t>decembar</w:t>
      </w:r>
      <w:proofErr w:type="spellEnd"/>
      <w:r w:rsidR="008E659D" w:rsidRPr="008E659D">
        <w:rPr>
          <w:szCs w:val="24"/>
        </w:rPr>
        <w:t xml:space="preserve"> 2018.g.</w:t>
      </w:r>
      <w:r w:rsidR="00D52864" w:rsidRPr="008E659D">
        <w:rPr>
          <w:szCs w:val="24"/>
        </w:rPr>
        <w:t>)</w:t>
      </w:r>
      <w:r w:rsidR="005B2378" w:rsidRPr="008E659D">
        <w:rPr>
          <w:szCs w:val="24"/>
        </w:rPr>
        <w:t xml:space="preserve"> </w:t>
      </w:r>
      <w:proofErr w:type="spellStart"/>
      <w:r w:rsidR="005B2378" w:rsidRPr="008E659D">
        <w:rPr>
          <w:szCs w:val="24"/>
        </w:rPr>
        <w:t>realizirano</w:t>
      </w:r>
      <w:proofErr w:type="spellEnd"/>
      <w:r w:rsidR="005B2378" w:rsidRPr="008E659D">
        <w:rPr>
          <w:szCs w:val="24"/>
        </w:rPr>
        <w:t xml:space="preserve"> </w:t>
      </w:r>
      <w:r w:rsidR="009547FE" w:rsidRPr="008E659D">
        <w:rPr>
          <w:szCs w:val="24"/>
        </w:rPr>
        <w:t>880.264</w:t>
      </w:r>
      <w:r w:rsidR="005B2378" w:rsidRPr="008E659D">
        <w:rPr>
          <w:szCs w:val="24"/>
        </w:rPr>
        <w:t xml:space="preserve"> KM </w:t>
      </w:r>
      <w:proofErr w:type="spellStart"/>
      <w:r w:rsidR="005B2378" w:rsidRPr="008E659D">
        <w:rPr>
          <w:szCs w:val="24"/>
        </w:rPr>
        <w:t>te</w:t>
      </w:r>
      <w:proofErr w:type="spellEnd"/>
      <w:r w:rsidR="005B2378" w:rsidRPr="008E659D">
        <w:rPr>
          <w:szCs w:val="24"/>
        </w:rPr>
        <w:t xml:space="preserve"> </w:t>
      </w:r>
      <w:proofErr w:type="spellStart"/>
      <w:r w:rsidR="005B2378" w:rsidRPr="008E659D">
        <w:rPr>
          <w:szCs w:val="24"/>
        </w:rPr>
        <w:t>iz</w:t>
      </w:r>
      <w:proofErr w:type="spellEnd"/>
      <w:r w:rsidR="005B2378" w:rsidRPr="008E659D">
        <w:rPr>
          <w:szCs w:val="24"/>
        </w:rPr>
        <w:t xml:space="preserve"> </w:t>
      </w:r>
      <w:proofErr w:type="spellStart"/>
      <w:r w:rsidR="005B2378" w:rsidRPr="008E659D">
        <w:rPr>
          <w:szCs w:val="24"/>
        </w:rPr>
        <w:t>eksternih</w:t>
      </w:r>
      <w:proofErr w:type="spellEnd"/>
      <w:r w:rsidR="005B2378" w:rsidRPr="008E659D">
        <w:rPr>
          <w:szCs w:val="24"/>
        </w:rPr>
        <w:t xml:space="preserve"> </w:t>
      </w:r>
      <w:proofErr w:type="spellStart"/>
      <w:r w:rsidR="005B2378" w:rsidRPr="008E659D">
        <w:rPr>
          <w:szCs w:val="24"/>
        </w:rPr>
        <w:t>izvora</w:t>
      </w:r>
      <w:proofErr w:type="spellEnd"/>
      <w:r w:rsidR="005B2378" w:rsidRPr="008E659D">
        <w:rPr>
          <w:szCs w:val="24"/>
        </w:rPr>
        <w:t xml:space="preserve"> </w:t>
      </w:r>
      <w:r w:rsidR="009547FE" w:rsidRPr="008E659D">
        <w:rPr>
          <w:szCs w:val="24"/>
        </w:rPr>
        <w:t xml:space="preserve">136.201,00 </w:t>
      </w:r>
      <w:r w:rsidR="005B2378" w:rsidRPr="008E659D">
        <w:rPr>
          <w:szCs w:val="24"/>
        </w:rPr>
        <w:t xml:space="preserve">KM. </w:t>
      </w:r>
      <w:proofErr w:type="spellStart"/>
      <w:r w:rsidR="005B2378" w:rsidRPr="005F0390">
        <w:rPr>
          <w:szCs w:val="24"/>
        </w:rPr>
        <w:t>Ovi</w:t>
      </w:r>
      <w:proofErr w:type="spellEnd"/>
      <w:r w:rsidR="005B2378" w:rsidRPr="005F0390">
        <w:rPr>
          <w:szCs w:val="24"/>
        </w:rPr>
        <w:t xml:space="preserve"> </w:t>
      </w:r>
      <w:proofErr w:type="spellStart"/>
      <w:r w:rsidR="005B2378" w:rsidRPr="005F0390">
        <w:rPr>
          <w:szCs w:val="24"/>
        </w:rPr>
        <w:t>podaci</w:t>
      </w:r>
      <w:proofErr w:type="spellEnd"/>
      <w:r w:rsidR="005B2378" w:rsidRPr="005F0390">
        <w:rPr>
          <w:szCs w:val="24"/>
        </w:rPr>
        <w:t xml:space="preserve"> </w:t>
      </w:r>
      <w:proofErr w:type="spellStart"/>
      <w:r w:rsidR="005B2378" w:rsidRPr="005F0390">
        <w:rPr>
          <w:szCs w:val="24"/>
        </w:rPr>
        <w:t>ukazuju</w:t>
      </w:r>
      <w:proofErr w:type="spellEnd"/>
      <w:r w:rsidR="005B2378" w:rsidRPr="005F0390">
        <w:rPr>
          <w:szCs w:val="24"/>
        </w:rPr>
        <w:t xml:space="preserve"> da </w:t>
      </w:r>
      <w:proofErr w:type="spellStart"/>
      <w:r w:rsidR="005B2378" w:rsidRPr="005F0390">
        <w:rPr>
          <w:szCs w:val="24"/>
        </w:rPr>
        <w:t>tokom</w:t>
      </w:r>
      <w:proofErr w:type="spellEnd"/>
      <w:r w:rsidR="005B2378" w:rsidRPr="005F0390">
        <w:rPr>
          <w:szCs w:val="24"/>
        </w:rPr>
        <w:t xml:space="preserve"> 201</w:t>
      </w:r>
      <w:r w:rsidR="007F09F5" w:rsidRPr="005F0390">
        <w:rPr>
          <w:szCs w:val="24"/>
        </w:rPr>
        <w:t>8</w:t>
      </w:r>
      <w:r w:rsidR="005B2378" w:rsidRPr="005F0390">
        <w:rPr>
          <w:szCs w:val="24"/>
        </w:rPr>
        <w:t xml:space="preserve">. </w:t>
      </w:r>
      <w:proofErr w:type="spellStart"/>
      <w:proofErr w:type="gramStart"/>
      <w:r w:rsidR="005B2378" w:rsidRPr="005F0390">
        <w:rPr>
          <w:szCs w:val="24"/>
        </w:rPr>
        <w:t>godine</w:t>
      </w:r>
      <w:proofErr w:type="spellEnd"/>
      <w:proofErr w:type="gramEnd"/>
      <w:r w:rsidR="005B2378" w:rsidRPr="005F0390">
        <w:rPr>
          <w:szCs w:val="24"/>
        </w:rPr>
        <w:t xml:space="preserve"> </w:t>
      </w:r>
      <w:proofErr w:type="spellStart"/>
      <w:r w:rsidR="008E659D">
        <w:rPr>
          <w:szCs w:val="24"/>
        </w:rPr>
        <w:t>ni</w:t>
      </w:r>
      <w:r w:rsidR="009547FE" w:rsidRPr="005F0390">
        <w:rPr>
          <w:szCs w:val="24"/>
        </w:rPr>
        <w:t>je</w:t>
      </w:r>
      <w:proofErr w:type="spellEnd"/>
      <w:r w:rsidR="009547FE" w:rsidRPr="005F0390">
        <w:rPr>
          <w:szCs w:val="24"/>
        </w:rPr>
        <w:t xml:space="preserve"> </w:t>
      </w:r>
      <w:r w:rsidR="005B2378" w:rsidRPr="005F0390">
        <w:rPr>
          <w:color w:val="FF0000"/>
          <w:szCs w:val="24"/>
        </w:rPr>
        <w:t xml:space="preserve"> </w:t>
      </w:r>
      <w:proofErr w:type="spellStart"/>
      <w:r w:rsidR="005B2378" w:rsidRPr="005F0390">
        <w:rPr>
          <w:szCs w:val="24"/>
        </w:rPr>
        <w:t>došlo</w:t>
      </w:r>
      <w:proofErr w:type="spellEnd"/>
      <w:r w:rsidR="005B2378" w:rsidRPr="005F0390">
        <w:rPr>
          <w:szCs w:val="24"/>
        </w:rPr>
        <w:t xml:space="preserve"> do </w:t>
      </w:r>
      <w:proofErr w:type="spellStart"/>
      <w:r w:rsidR="005B2378" w:rsidRPr="005F0390">
        <w:rPr>
          <w:szCs w:val="24"/>
        </w:rPr>
        <w:t>značajnih</w:t>
      </w:r>
      <w:proofErr w:type="spellEnd"/>
      <w:r w:rsidR="005B2378" w:rsidRPr="005F0390">
        <w:rPr>
          <w:szCs w:val="24"/>
        </w:rPr>
        <w:t xml:space="preserve"> </w:t>
      </w:r>
      <w:proofErr w:type="spellStart"/>
      <w:r w:rsidR="005B2378" w:rsidRPr="005F0390">
        <w:rPr>
          <w:szCs w:val="24"/>
        </w:rPr>
        <w:t>izmjena</w:t>
      </w:r>
      <w:proofErr w:type="spellEnd"/>
      <w:r w:rsidR="005B2378" w:rsidRPr="005F0390">
        <w:rPr>
          <w:szCs w:val="24"/>
        </w:rPr>
        <w:t xml:space="preserve"> </w:t>
      </w:r>
      <w:proofErr w:type="spellStart"/>
      <w:r w:rsidR="005B2378" w:rsidRPr="005F0390">
        <w:rPr>
          <w:szCs w:val="24"/>
        </w:rPr>
        <w:t>trenda</w:t>
      </w:r>
      <w:proofErr w:type="spellEnd"/>
      <w:r w:rsidR="005B2378" w:rsidRPr="005F0390">
        <w:rPr>
          <w:szCs w:val="24"/>
        </w:rPr>
        <w:t xml:space="preserve"> </w:t>
      </w:r>
      <w:proofErr w:type="spellStart"/>
      <w:r w:rsidR="005B2378" w:rsidRPr="005F0390">
        <w:rPr>
          <w:szCs w:val="24"/>
        </w:rPr>
        <w:t>realizacije</w:t>
      </w:r>
      <w:proofErr w:type="spellEnd"/>
      <w:r w:rsidR="005B2378" w:rsidRPr="005F0390">
        <w:rPr>
          <w:szCs w:val="24"/>
        </w:rPr>
        <w:t xml:space="preserve"> </w:t>
      </w:r>
      <w:proofErr w:type="spellStart"/>
      <w:r w:rsidR="005B2378" w:rsidRPr="005F0390">
        <w:rPr>
          <w:szCs w:val="24"/>
        </w:rPr>
        <w:t>izdvajanja</w:t>
      </w:r>
      <w:proofErr w:type="spellEnd"/>
      <w:r w:rsidR="005B2378" w:rsidRPr="005F0390">
        <w:rPr>
          <w:szCs w:val="24"/>
        </w:rPr>
        <w:t xml:space="preserve"> </w:t>
      </w:r>
      <w:proofErr w:type="spellStart"/>
      <w:r w:rsidR="005B2378" w:rsidRPr="005F0390">
        <w:rPr>
          <w:szCs w:val="24"/>
        </w:rPr>
        <w:t>za</w:t>
      </w:r>
      <w:proofErr w:type="spellEnd"/>
      <w:r w:rsidR="005B2378" w:rsidRPr="005F0390">
        <w:rPr>
          <w:szCs w:val="24"/>
        </w:rPr>
        <w:t xml:space="preserve"> </w:t>
      </w:r>
      <w:proofErr w:type="spellStart"/>
      <w:r w:rsidR="005B2378" w:rsidRPr="005F0390">
        <w:rPr>
          <w:szCs w:val="24"/>
        </w:rPr>
        <w:t>finansiranje</w:t>
      </w:r>
      <w:proofErr w:type="spellEnd"/>
      <w:r w:rsidR="005B2378" w:rsidRPr="005F0390">
        <w:rPr>
          <w:szCs w:val="24"/>
        </w:rPr>
        <w:t xml:space="preserve"> </w:t>
      </w:r>
      <w:proofErr w:type="spellStart"/>
      <w:r w:rsidR="005B2378" w:rsidRPr="005F0390">
        <w:rPr>
          <w:szCs w:val="24"/>
        </w:rPr>
        <w:t>strategije</w:t>
      </w:r>
      <w:proofErr w:type="spellEnd"/>
      <w:r w:rsidR="005B2378" w:rsidRPr="007F400F">
        <w:rPr>
          <w:szCs w:val="24"/>
        </w:rPr>
        <w:t xml:space="preserve"> u </w:t>
      </w:r>
      <w:proofErr w:type="spellStart"/>
      <w:r w:rsidR="005B2378" w:rsidRPr="007F400F">
        <w:rPr>
          <w:szCs w:val="24"/>
        </w:rPr>
        <w:t>odnosu</w:t>
      </w:r>
      <w:proofErr w:type="spellEnd"/>
      <w:r w:rsidR="005B2378" w:rsidRPr="007F400F">
        <w:rPr>
          <w:szCs w:val="24"/>
        </w:rPr>
        <w:t xml:space="preserve"> </w:t>
      </w:r>
      <w:proofErr w:type="spellStart"/>
      <w:r w:rsidR="005B2378" w:rsidRPr="007F400F">
        <w:rPr>
          <w:szCs w:val="24"/>
        </w:rPr>
        <w:t>na</w:t>
      </w:r>
      <w:proofErr w:type="spellEnd"/>
      <w:r w:rsidR="005B2378" w:rsidRPr="007F400F">
        <w:rPr>
          <w:szCs w:val="24"/>
        </w:rPr>
        <w:t xml:space="preserve"> </w:t>
      </w:r>
      <w:proofErr w:type="spellStart"/>
      <w:r w:rsidR="005B2378" w:rsidRPr="007F400F">
        <w:rPr>
          <w:szCs w:val="24"/>
        </w:rPr>
        <w:t>prethodne</w:t>
      </w:r>
      <w:proofErr w:type="spellEnd"/>
      <w:r w:rsidR="005B2378" w:rsidRPr="007F400F">
        <w:rPr>
          <w:szCs w:val="24"/>
        </w:rPr>
        <w:t xml:space="preserve"> </w:t>
      </w:r>
      <w:proofErr w:type="spellStart"/>
      <w:r w:rsidR="005B2378" w:rsidRPr="007F400F">
        <w:rPr>
          <w:szCs w:val="24"/>
        </w:rPr>
        <w:t>godine</w:t>
      </w:r>
      <w:proofErr w:type="spellEnd"/>
      <w:r w:rsidR="005B2378" w:rsidRPr="007F400F">
        <w:rPr>
          <w:szCs w:val="24"/>
        </w:rPr>
        <w:t>.</w:t>
      </w:r>
      <w:r w:rsidR="00E10BB8">
        <w:rPr>
          <w:szCs w:val="24"/>
        </w:rPr>
        <w:t xml:space="preserve"> U </w:t>
      </w:r>
      <w:proofErr w:type="spellStart"/>
      <w:r w:rsidR="00E10BB8">
        <w:rPr>
          <w:szCs w:val="24"/>
        </w:rPr>
        <w:t>pogledu</w:t>
      </w:r>
      <w:proofErr w:type="spellEnd"/>
      <w:r w:rsidR="00E10BB8">
        <w:rPr>
          <w:szCs w:val="24"/>
        </w:rPr>
        <w:t xml:space="preserve"> </w:t>
      </w:r>
      <w:proofErr w:type="spellStart"/>
      <w:r w:rsidR="00E10BB8">
        <w:rPr>
          <w:szCs w:val="24"/>
        </w:rPr>
        <w:t>projekcije</w:t>
      </w:r>
      <w:proofErr w:type="spellEnd"/>
      <w:r w:rsidR="00E10BB8">
        <w:rPr>
          <w:szCs w:val="24"/>
        </w:rPr>
        <w:t xml:space="preserve"> DOB-a </w:t>
      </w:r>
      <w:proofErr w:type="spellStart"/>
      <w:r w:rsidR="00E10BB8">
        <w:rPr>
          <w:szCs w:val="24"/>
        </w:rPr>
        <w:t>za</w:t>
      </w:r>
      <w:proofErr w:type="spellEnd"/>
      <w:r w:rsidR="00E10BB8">
        <w:rPr>
          <w:szCs w:val="24"/>
        </w:rPr>
        <w:t xml:space="preserve"> </w:t>
      </w:r>
      <w:r w:rsidR="00E10BB8" w:rsidRPr="008E659D">
        <w:rPr>
          <w:szCs w:val="24"/>
        </w:rPr>
        <w:t>201</w:t>
      </w:r>
      <w:r w:rsidR="006D68BE" w:rsidRPr="008E659D">
        <w:rPr>
          <w:szCs w:val="24"/>
        </w:rPr>
        <w:t>9</w:t>
      </w:r>
      <w:r w:rsidR="00E10BB8" w:rsidRPr="008E659D">
        <w:rPr>
          <w:szCs w:val="24"/>
        </w:rPr>
        <w:t xml:space="preserve">. </w:t>
      </w:r>
      <w:proofErr w:type="spellStart"/>
      <w:r w:rsidR="00E10BB8" w:rsidRPr="008E659D">
        <w:rPr>
          <w:szCs w:val="24"/>
        </w:rPr>
        <w:t>godinu</w:t>
      </w:r>
      <w:proofErr w:type="spellEnd"/>
      <w:r w:rsidR="00E10BB8" w:rsidRPr="008E659D">
        <w:rPr>
          <w:szCs w:val="24"/>
        </w:rPr>
        <w:t xml:space="preserve">, </w:t>
      </w:r>
      <w:proofErr w:type="spellStart"/>
      <w:r w:rsidR="00E10BB8" w:rsidRPr="008E659D">
        <w:rPr>
          <w:szCs w:val="24"/>
        </w:rPr>
        <w:t>za</w:t>
      </w:r>
      <w:proofErr w:type="spellEnd"/>
      <w:r w:rsidR="00E10BB8" w:rsidRPr="008E659D">
        <w:rPr>
          <w:szCs w:val="24"/>
        </w:rPr>
        <w:t xml:space="preserve"> </w:t>
      </w:r>
      <w:proofErr w:type="spellStart"/>
      <w:r w:rsidR="00E10BB8" w:rsidRPr="008E659D">
        <w:rPr>
          <w:szCs w:val="24"/>
        </w:rPr>
        <w:t>kapitalne</w:t>
      </w:r>
      <w:proofErr w:type="spellEnd"/>
      <w:r w:rsidR="00E10BB8" w:rsidRPr="008E659D">
        <w:rPr>
          <w:szCs w:val="24"/>
        </w:rPr>
        <w:t xml:space="preserve"> </w:t>
      </w:r>
      <w:proofErr w:type="spellStart"/>
      <w:r w:rsidR="00E10BB8" w:rsidRPr="008E659D">
        <w:rPr>
          <w:szCs w:val="24"/>
        </w:rPr>
        <w:t>projekate</w:t>
      </w:r>
      <w:proofErr w:type="spellEnd"/>
      <w:r w:rsidR="00E10BB8" w:rsidRPr="008E659D">
        <w:rPr>
          <w:szCs w:val="24"/>
        </w:rPr>
        <w:t xml:space="preserve"> </w:t>
      </w:r>
      <w:proofErr w:type="spellStart"/>
      <w:r w:rsidR="00E10BB8" w:rsidRPr="008E659D">
        <w:rPr>
          <w:szCs w:val="24"/>
        </w:rPr>
        <w:t>i</w:t>
      </w:r>
      <w:proofErr w:type="spellEnd"/>
      <w:r w:rsidR="00E10BB8" w:rsidRPr="008E659D">
        <w:rPr>
          <w:szCs w:val="24"/>
        </w:rPr>
        <w:t xml:space="preserve"> </w:t>
      </w:r>
      <w:proofErr w:type="spellStart"/>
      <w:r w:rsidR="00E10BB8" w:rsidRPr="008E659D">
        <w:rPr>
          <w:szCs w:val="24"/>
        </w:rPr>
        <w:t>ostale</w:t>
      </w:r>
      <w:proofErr w:type="spellEnd"/>
      <w:r w:rsidR="00E10BB8" w:rsidRPr="008E659D">
        <w:rPr>
          <w:szCs w:val="24"/>
        </w:rPr>
        <w:t xml:space="preserve"> </w:t>
      </w:r>
      <w:proofErr w:type="spellStart"/>
      <w:r w:rsidR="00E10BB8" w:rsidRPr="008E659D">
        <w:rPr>
          <w:szCs w:val="24"/>
        </w:rPr>
        <w:t>investiciono</w:t>
      </w:r>
      <w:proofErr w:type="spellEnd"/>
      <w:r w:rsidR="00E10BB8" w:rsidRPr="008E659D">
        <w:rPr>
          <w:szCs w:val="24"/>
        </w:rPr>
        <w:t xml:space="preserve"> </w:t>
      </w:r>
      <w:proofErr w:type="spellStart"/>
      <w:r w:rsidR="00E10BB8" w:rsidRPr="008E659D">
        <w:rPr>
          <w:szCs w:val="24"/>
        </w:rPr>
        <w:t>značajne</w:t>
      </w:r>
      <w:proofErr w:type="spellEnd"/>
      <w:r w:rsidR="00E10BB8" w:rsidRPr="008E659D">
        <w:rPr>
          <w:szCs w:val="24"/>
        </w:rPr>
        <w:t xml:space="preserve"> </w:t>
      </w:r>
      <w:proofErr w:type="spellStart"/>
      <w:r w:rsidR="00E10BB8" w:rsidRPr="008E659D">
        <w:rPr>
          <w:szCs w:val="24"/>
        </w:rPr>
        <w:t>projekte</w:t>
      </w:r>
      <w:proofErr w:type="spellEnd"/>
      <w:r w:rsidR="00E10BB8" w:rsidRPr="008E659D">
        <w:rPr>
          <w:szCs w:val="24"/>
        </w:rPr>
        <w:t xml:space="preserve"> je </w:t>
      </w:r>
      <w:proofErr w:type="spellStart"/>
      <w:r w:rsidR="00E10BB8" w:rsidRPr="008E659D">
        <w:rPr>
          <w:szCs w:val="24"/>
        </w:rPr>
        <w:t>okvirno</w:t>
      </w:r>
      <w:proofErr w:type="spellEnd"/>
      <w:r w:rsidR="00E10BB8" w:rsidRPr="008E659D">
        <w:rPr>
          <w:szCs w:val="24"/>
        </w:rPr>
        <w:t xml:space="preserve"> </w:t>
      </w:r>
      <w:proofErr w:type="spellStart"/>
      <w:r w:rsidR="00E10BB8" w:rsidRPr="0001638A">
        <w:rPr>
          <w:szCs w:val="24"/>
          <w:u w:val="single"/>
        </w:rPr>
        <w:t>predviđeno</w:t>
      </w:r>
      <w:proofErr w:type="spellEnd"/>
      <w:r w:rsidR="00E10BB8" w:rsidRPr="0001638A">
        <w:rPr>
          <w:szCs w:val="24"/>
          <w:u w:val="single"/>
        </w:rPr>
        <w:t xml:space="preserve"> </w:t>
      </w:r>
      <w:r w:rsidR="008E659D" w:rsidRPr="0001638A">
        <w:rPr>
          <w:szCs w:val="24"/>
          <w:u w:val="single"/>
        </w:rPr>
        <w:t xml:space="preserve">1.950.000 </w:t>
      </w:r>
      <w:r w:rsidR="00E10BB8" w:rsidRPr="0001638A">
        <w:rPr>
          <w:szCs w:val="24"/>
          <w:u w:val="single"/>
        </w:rPr>
        <w:t>KM.</w:t>
      </w:r>
    </w:p>
    <w:p w:rsidR="00882AD2" w:rsidRPr="007F400F" w:rsidRDefault="00882AD2" w:rsidP="009F10EF">
      <w:pPr>
        <w:jc w:val="both"/>
        <w:rPr>
          <w:szCs w:val="24"/>
        </w:rPr>
      </w:pPr>
      <w:proofErr w:type="spellStart"/>
      <w:r w:rsidRPr="0084774B">
        <w:rPr>
          <w:szCs w:val="24"/>
        </w:rPr>
        <w:t>Kada</w:t>
      </w:r>
      <w:proofErr w:type="spellEnd"/>
      <w:r w:rsidRPr="0084774B">
        <w:rPr>
          <w:szCs w:val="24"/>
        </w:rPr>
        <w:t xml:space="preserve"> je </w:t>
      </w:r>
      <w:proofErr w:type="spellStart"/>
      <w:r w:rsidRPr="0084774B">
        <w:rPr>
          <w:szCs w:val="24"/>
        </w:rPr>
        <w:t>riječ</w:t>
      </w:r>
      <w:proofErr w:type="spellEnd"/>
      <w:r w:rsidRPr="0084774B">
        <w:rPr>
          <w:szCs w:val="24"/>
        </w:rPr>
        <w:t xml:space="preserve"> o </w:t>
      </w:r>
      <w:proofErr w:type="spellStart"/>
      <w:r w:rsidRPr="0084774B">
        <w:rPr>
          <w:szCs w:val="24"/>
        </w:rPr>
        <w:t>fi</w:t>
      </w:r>
      <w:r w:rsidR="009F21A6" w:rsidRPr="0084774B">
        <w:rPr>
          <w:szCs w:val="24"/>
        </w:rPr>
        <w:t>n</w:t>
      </w:r>
      <w:r w:rsidRPr="0084774B">
        <w:rPr>
          <w:szCs w:val="24"/>
        </w:rPr>
        <w:t>ansijskom</w:t>
      </w:r>
      <w:proofErr w:type="spellEnd"/>
      <w:r w:rsidRPr="0084774B">
        <w:rPr>
          <w:szCs w:val="24"/>
        </w:rPr>
        <w:t xml:space="preserve"> </w:t>
      </w:r>
      <w:proofErr w:type="spellStart"/>
      <w:r w:rsidR="00165EFC" w:rsidRPr="0084774B">
        <w:rPr>
          <w:szCs w:val="24"/>
        </w:rPr>
        <w:t>stanju</w:t>
      </w:r>
      <w:proofErr w:type="spellEnd"/>
      <w:r w:rsidR="00165EFC" w:rsidRPr="0084774B">
        <w:rPr>
          <w:szCs w:val="24"/>
        </w:rPr>
        <w:t xml:space="preserve"> </w:t>
      </w:r>
      <w:r w:rsidR="00C9760E" w:rsidRPr="0084774B">
        <w:rPr>
          <w:szCs w:val="24"/>
        </w:rPr>
        <w:t xml:space="preserve">JLS </w:t>
      </w:r>
      <w:proofErr w:type="spellStart"/>
      <w:r w:rsidR="009547FE" w:rsidRPr="0084774B">
        <w:rPr>
          <w:szCs w:val="24"/>
        </w:rPr>
        <w:t>Jablanica</w:t>
      </w:r>
      <w:proofErr w:type="spellEnd"/>
      <w:r w:rsidR="007F400F" w:rsidRPr="0084774B">
        <w:rPr>
          <w:szCs w:val="24"/>
        </w:rPr>
        <w:t xml:space="preserve">, </w:t>
      </w:r>
      <w:proofErr w:type="spellStart"/>
      <w:r w:rsidR="009F21A6" w:rsidRPr="0084774B">
        <w:rPr>
          <w:b/>
          <w:szCs w:val="24"/>
        </w:rPr>
        <w:t>akumuliran</w:t>
      </w:r>
      <w:r w:rsidR="00165EFC" w:rsidRPr="0084774B">
        <w:rPr>
          <w:b/>
          <w:szCs w:val="24"/>
        </w:rPr>
        <w:t>e</w:t>
      </w:r>
      <w:proofErr w:type="spellEnd"/>
      <w:r w:rsidR="009F21A6" w:rsidRPr="0084774B">
        <w:rPr>
          <w:b/>
          <w:szCs w:val="24"/>
        </w:rPr>
        <w:t xml:space="preserve"> </w:t>
      </w:r>
      <w:proofErr w:type="spellStart"/>
      <w:r w:rsidR="009F21A6" w:rsidRPr="0084774B">
        <w:rPr>
          <w:b/>
          <w:szCs w:val="24"/>
        </w:rPr>
        <w:t>obavez</w:t>
      </w:r>
      <w:r w:rsidR="00165EFC" w:rsidRPr="0084774B">
        <w:rPr>
          <w:b/>
          <w:szCs w:val="24"/>
        </w:rPr>
        <w:t>e</w:t>
      </w:r>
      <w:proofErr w:type="spellEnd"/>
      <w:r w:rsidR="009F21A6" w:rsidRPr="0084774B">
        <w:rPr>
          <w:b/>
          <w:szCs w:val="24"/>
        </w:rPr>
        <w:t xml:space="preserve"> </w:t>
      </w:r>
      <w:proofErr w:type="spellStart"/>
      <w:proofErr w:type="gramStart"/>
      <w:r w:rsidR="00DB52DE" w:rsidRPr="0084774B">
        <w:rPr>
          <w:szCs w:val="24"/>
        </w:rPr>
        <w:t>na</w:t>
      </w:r>
      <w:proofErr w:type="spellEnd"/>
      <w:proofErr w:type="gramEnd"/>
      <w:r w:rsidR="00DB52DE" w:rsidRPr="0084774B">
        <w:rPr>
          <w:szCs w:val="24"/>
        </w:rPr>
        <w:t xml:space="preserve"> </w:t>
      </w:r>
      <w:proofErr w:type="spellStart"/>
      <w:r w:rsidR="00DB52DE" w:rsidRPr="0084774B">
        <w:rPr>
          <w:szCs w:val="24"/>
        </w:rPr>
        <w:t>dan</w:t>
      </w:r>
      <w:proofErr w:type="spellEnd"/>
      <w:r w:rsidR="00DB52DE" w:rsidRPr="0084774B">
        <w:rPr>
          <w:szCs w:val="24"/>
        </w:rPr>
        <w:t xml:space="preserve"> </w:t>
      </w:r>
      <w:r w:rsidR="009547FE" w:rsidRPr="0084774B">
        <w:rPr>
          <w:szCs w:val="24"/>
        </w:rPr>
        <w:t>30.06.</w:t>
      </w:r>
      <w:r w:rsidR="00C046FE" w:rsidRPr="0084774B">
        <w:rPr>
          <w:szCs w:val="24"/>
        </w:rPr>
        <w:t xml:space="preserve">tekuće </w:t>
      </w:r>
      <w:r w:rsidR="00DB52DE" w:rsidRPr="0084774B">
        <w:rPr>
          <w:szCs w:val="24"/>
        </w:rPr>
        <w:t>201</w:t>
      </w:r>
      <w:r w:rsidR="009547FE" w:rsidRPr="0084774B">
        <w:rPr>
          <w:szCs w:val="24"/>
        </w:rPr>
        <w:t>8</w:t>
      </w:r>
      <w:r w:rsidR="00DB52DE" w:rsidRPr="0084774B">
        <w:rPr>
          <w:szCs w:val="24"/>
        </w:rPr>
        <w:t xml:space="preserve">. </w:t>
      </w:r>
      <w:proofErr w:type="spellStart"/>
      <w:r w:rsidR="00DB52DE" w:rsidRPr="0084774B">
        <w:rPr>
          <w:szCs w:val="24"/>
        </w:rPr>
        <w:t>godine</w:t>
      </w:r>
      <w:proofErr w:type="spellEnd"/>
      <w:r w:rsidR="00DB52DE" w:rsidRPr="0084774B">
        <w:rPr>
          <w:b/>
          <w:szCs w:val="24"/>
        </w:rPr>
        <w:t xml:space="preserve">  </w:t>
      </w:r>
      <w:proofErr w:type="spellStart"/>
      <w:r w:rsidR="00D52864" w:rsidRPr="0084774B">
        <w:rPr>
          <w:b/>
          <w:szCs w:val="24"/>
        </w:rPr>
        <w:t>su</w:t>
      </w:r>
      <w:proofErr w:type="spellEnd"/>
      <w:r w:rsidR="00D52864" w:rsidRPr="0084774B">
        <w:rPr>
          <w:b/>
          <w:szCs w:val="24"/>
        </w:rPr>
        <w:t xml:space="preserve"> </w:t>
      </w:r>
      <w:r w:rsidR="00DB52DE" w:rsidRPr="0084774B">
        <w:rPr>
          <w:b/>
          <w:szCs w:val="24"/>
        </w:rPr>
        <w:t xml:space="preserve">u </w:t>
      </w:r>
      <w:proofErr w:type="spellStart"/>
      <w:r w:rsidR="00DB52DE" w:rsidRPr="0084774B">
        <w:rPr>
          <w:b/>
          <w:szCs w:val="24"/>
        </w:rPr>
        <w:t>iznosu</w:t>
      </w:r>
      <w:proofErr w:type="spellEnd"/>
      <w:r w:rsidR="00DB52DE" w:rsidRPr="0084774B">
        <w:rPr>
          <w:b/>
          <w:szCs w:val="24"/>
        </w:rPr>
        <w:t xml:space="preserve"> od </w:t>
      </w:r>
      <w:r w:rsidR="009547FE" w:rsidRPr="0084774B">
        <w:rPr>
          <w:b/>
          <w:szCs w:val="24"/>
        </w:rPr>
        <w:t>111.253,00</w:t>
      </w:r>
      <w:r w:rsidR="009F10EF" w:rsidRPr="0084774B">
        <w:rPr>
          <w:b/>
          <w:szCs w:val="24"/>
        </w:rPr>
        <w:t xml:space="preserve"> KM</w:t>
      </w:r>
      <w:r w:rsidR="007035DB" w:rsidRPr="0084774B">
        <w:rPr>
          <w:b/>
          <w:szCs w:val="24"/>
        </w:rPr>
        <w:t xml:space="preserve">. </w:t>
      </w:r>
      <w:proofErr w:type="spellStart"/>
      <w:r w:rsidR="007035DB" w:rsidRPr="005F0390">
        <w:rPr>
          <w:szCs w:val="24"/>
        </w:rPr>
        <w:t>Z</w:t>
      </w:r>
      <w:r w:rsidR="00290D1D" w:rsidRPr="005F0390">
        <w:rPr>
          <w:szCs w:val="24"/>
        </w:rPr>
        <w:t>a</w:t>
      </w:r>
      <w:proofErr w:type="spellEnd"/>
      <w:r w:rsidR="00290D1D" w:rsidRPr="005F0390">
        <w:rPr>
          <w:szCs w:val="24"/>
        </w:rPr>
        <w:t xml:space="preserve"> </w:t>
      </w:r>
      <w:proofErr w:type="spellStart"/>
      <w:r w:rsidR="009F10EF" w:rsidRPr="007F400F">
        <w:rPr>
          <w:szCs w:val="24"/>
        </w:rPr>
        <w:t>servisiranj</w:t>
      </w:r>
      <w:r w:rsidR="00290D1D" w:rsidRPr="007F400F">
        <w:rPr>
          <w:szCs w:val="24"/>
        </w:rPr>
        <w:t>e</w:t>
      </w:r>
      <w:proofErr w:type="spellEnd"/>
      <w:r w:rsidR="009F10EF" w:rsidRPr="007F400F">
        <w:rPr>
          <w:szCs w:val="24"/>
        </w:rPr>
        <w:t xml:space="preserve"> </w:t>
      </w:r>
      <w:proofErr w:type="spellStart"/>
      <w:r w:rsidR="009F10EF" w:rsidRPr="007F400F">
        <w:rPr>
          <w:szCs w:val="24"/>
        </w:rPr>
        <w:t>kreditnih</w:t>
      </w:r>
      <w:proofErr w:type="spellEnd"/>
      <w:r w:rsidR="009F10EF" w:rsidRPr="007F400F">
        <w:rPr>
          <w:szCs w:val="24"/>
        </w:rPr>
        <w:t xml:space="preserve"> </w:t>
      </w:r>
      <w:proofErr w:type="spellStart"/>
      <w:r w:rsidR="009F10EF" w:rsidRPr="007F400F">
        <w:rPr>
          <w:szCs w:val="24"/>
        </w:rPr>
        <w:t>obaveza</w:t>
      </w:r>
      <w:proofErr w:type="spellEnd"/>
      <w:r w:rsidR="009F10EF" w:rsidRPr="007F400F">
        <w:rPr>
          <w:szCs w:val="24"/>
        </w:rPr>
        <w:t xml:space="preserve"> u </w:t>
      </w:r>
      <w:proofErr w:type="spellStart"/>
      <w:r w:rsidR="009F10EF" w:rsidRPr="007F400F">
        <w:rPr>
          <w:szCs w:val="24"/>
        </w:rPr>
        <w:t>naredn</w:t>
      </w:r>
      <w:r w:rsidR="007035DB" w:rsidRPr="007F400F">
        <w:rPr>
          <w:szCs w:val="24"/>
        </w:rPr>
        <w:t>ih</w:t>
      </w:r>
      <w:proofErr w:type="spellEnd"/>
      <w:r w:rsidR="007035DB" w:rsidRPr="007F400F">
        <w:rPr>
          <w:szCs w:val="24"/>
        </w:rPr>
        <w:t xml:space="preserve"> </w:t>
      </w:r>
      <w:r w:rsidR="009F10EF" w:rsidRPr="007F400F">
        <w:rPr>
          <w:szCs w:val="24"/>
        </w:rPr>
        <w:t xml:space="preserve">5 </w:t>
      </w:r>
      <w:proofErr w:type="spellStart"/>
      <w:r w:rsidR="009F10EF" w:rsidRPr="007F400F">
        <w:rPr>
          <w:szCs w:val="24"/>
        </w:rPr>
        <w:t>godina</w:t>
      </w:r>
      <w:proofErr w:type="spellEnd"/>
      <w:r w:rsidR="009F10EF" w:rsidRPr="007F400F">
        <w:rPr>
          <w:szCs w:val="24"/>
        </w:rPr>
        <w:t xml:space="preserve"> </w:t>
      </w:r>
      <w:proofErr w:type="spellStart"/>
      <w:r w:rsidR="009F10EF" w:rsidRPr="007F400F">
        <w:rPr>
          <w:szCs w:val="24"/>
        </w:rPr>
        <w:t>će</w:t>
      </w:r>
      <w:proofErr w:type="spellEnd"/>
      <w:r w:rsidR="009F10EF" w:rsidRPr="007F400F">
        <w:rPr>
          <w:szCs w:val="24"/>
        </w:rPr>
        <w:t xml:space="preserve"> </w:t>
      </w:r>
      <w:proofErr w:type="spellStart"/>
      <w:r w:rsidR="009F10EF" w:rsidRPr="007F400F">
        <w:rPr>
          <w:szCs w:val="24"/>
        </w:rPr>
        <w:t>biti</w:t>
      </w:r>
      <w:proofErr w:type="spellEnd"/>
      <w:r w:rsidR="009F10EF" w:rsidRPr="007F400F">
        <w:rPr>
          <w:szCs w:val="24"/>
        </w:rPr>
        <w:t xml:space="preserve"> </w:t>
      </w:r>
      <w:proofErr w:type="spellStart"/>
      <w:r w:rsidR="009F10EF" w:rsidRPr="007F400F">
        <w:rPr>
          <w:szCs w:val="24"/>
        </w:rPr>
        <w:t>potrebno</w:t>
      </w:r>
      <w:proofErr w:type="spellEnd"/>
      <w:r w:rsidR="009F10EF" w:rsidRPr="007F400F">
        <w:rPr>
          <w:szCs w:val="24"/>
        </w:rPr>
        <w:t xml:space="preserve"> </w:t>
      </w:r>
      <w:proofErr w:type="spellStart"/>
      <w:r w:rsidR="00290D1D" w:rsidRPr="007F400F">
        <w:rPr>
          <w:szCs w:val="24"/>
        </w:rPr>
        <w:t>godišnje</w:t>
      </w:r>
      <w:proofErr w:type="spellEnd"/>
      <w:r w:rsidR="00290D1D" w:rsidRPr="007F400F">
        <w:rPr>
          <w:szCs w:val="24"/>
        </w:rPr>
        <w:t xml:space="preserve"> </w:t>
      </w:r>
      <w:proofErr w:type="spellStart"/>
      <w:r w:rsidR="009F10EF" w:rsidRPr="007F400F">
        <w:rPr>
          <w:szCs w:val="24"/>
        </w:rPr>
        <w:t>izdv</w:t>
      </w:r>
      <w:r w:rsidR="00290D1D" w:rsidRPr="007F400F">
        <w:rPr>
          <w:szCs w:val="24"/>
        </w:rPr>
        <w:t>aja</w:t>
      </w:r>
      <w:r w:rsidR="009F10EF" w:rsidRPr="007F400F">
        <w:rPr>
          <w:szCs w:val="24"/>
        </w:rPr>
        <w:t>ti</w:t>
      </w:r>
      <w:proofErr w:type="spellEnd"/>
      <w:r w:rsidR="009F10EF" w:rsidRPr="007F400F">
        <w:rPr>
          <w:szCs w:val="24"/>
        </w:rPr>
        <w:t xml:space="preserve"> </w:t>
      </w:r>
      <w:proofErr w:type="spellStart"/>
      <w:r w:rsidR="009F10EF" w:rsidRPr="00BD7B28">
        <w:rPr>
          <w:szCs w:val="24"/>
          <w:u w:val="single"/>
        </w:rPr>
        <w:t>oko</w:t>
      </w:r>
      <w:proofErr w:type="spellEnd"/>
      <w:r w:rsidR="009F10EF" w:rsidRPr="00BD7B28">
        <w:rPr>
          <w:szCs w:val="24"/>
          <w:u w:val="single"/>
        </w:rPr>
        <w:t xml:space="preserve"> </w:t>
      </w:r>
      <w:r w:rsidR="00BD7B28" w:rsidRPr="00BD7B28">
        <w:rPr>
          <w:szCs w:val="24"/>
          <w:u w:val="single"/>
        </w:rPr>
        <w:t>111.253,00</w:t>
      </w:r>
      <w:r w:rsidR="009F10EF" w:rsidRPr="00BD7B28">
        <w:rPr>
          <w:szCs w:val="24"/>
          <w:u w:val="single"/>
        </w:rPr>
        <w:t xml:space="preserve"> KM</w:t>
      </w:r>
      <w:r w:rsidR="009F10EF" w:rsidRPr="005F0390">
        <w:rPr>
          <w:szCs w:val="24"/>
          <w:u w:val="single"/>
        </w:rPr>
        <w:t>.</w:t>
      </w:r>
      <w:r w:rsidR="009F10EF" w:rsidRPr="007F400F">
        <w:rPr>
          <w:szCs w:val="24"/>
        </w:rPr>
        <w:t xml:space="preserve"> U </w:t>
      </w:r>
      <w:proofErr w:type="spellStart"/>
      <w:r w:rsidR="009F10EF" w:rsidRPr="007F400F">
        <w:rPr>
          <w:szCs w:val="24"/>
        </w:rPr>
        <w:t>pogledu</w:t>
      </w:r>
      <w:proofErr w:type="spellEnd"/>
      <w:r w:rsidR="009F10EF" w:rsidRPr="007F400F">
        <w:rPr>
          <w:szCs w:val="24"/>
        </w:rPr>
        <w:t xml:space="preserve"> </w:t>
      </w:r>
      <w:proofErr w:type="spellStart"/>
      <w:r w:rsidR="009F10EF" w:rsidRPr="007F400F">
        <w:rPr>
          <w:szCs w:val="24"/>
        </w:rPr>
        <w:t>ostalih</w:t>
      </w:r>
      <w:proofErr w:type="spellEnd"/>
      <w:r w:rsidR="009F10EF" w:rsidRPr="007F400F">
        <w:rPr>
          <w:szCs w:val="24"/>
        </w:rPr>
        <w:t xml:space="preserve"> </w:t>
      </w:r>
      <w:proofErr w:type="spellStart"/>
      <w:r w:rsidR="009F10EF" w:rsidRPr="007F400F">
        <w:rPr>
          <w:szCs w:val="24"/>
        </w:rPr>
        <w:t>mogućih</w:t>
      </w:r>
      <w:proofErr w:type="spellEnd"/>
      <w:r w:rsidR="009F10EF" w:rsidRPr="007F400F">
        <w:rPr>
          <w:szCs w:val="24"/>
        </w:rPr>
        <w:t xml:space="preserve"> </w:t>
      </w:r>
      <w:proofErr w:type="spellStart"/>
      <w:r w:rsidR="009F10EF" w:rsidRPr="007F400F">
        <w:rPr>
          <w:szCs w:val="24"/>
        </w:rPr>
        <w:t>finansijskih</w:t>
      </w:r>
      <w:proofErr w:type="spellEnd"/>
      <w:r w:rsidR="009F10EF" w:rsidRPr="007F400F">
        <w:rPr>
          <w:szCs w:val="24"/>
        </w:rPr>
        <w:t xml:space="preserve"> </w:t>
      </w:r>
      <w:proofErr w:type="spellStart"/>
      <w:r w:rsidR="009F10EF" w:rsidRPr="007F400F">
        <w:rPr>
          <w:szCs w:val="24"/>
        </w:rPr>
        <w:t>obaveza</w:t>
      </w:r>
      <w:proofErr w:type="spellEnd"/>
      <w:r w:rsidR="009F10EF" w:rsidRPr="007F400F">
        <w:rPr>
          <w:szCs w:val="24"/>
        </w:rPr>
        <w:t xml:space="preserve"> </w:t>
      </w:r>
      <w:proofErr w:type="spellStart"/>
      <w:r w:rsidR="009F10EF" w:rsidRPr="007F400F">
        <w:rPr>
          <w:szCs w:val="24"/>
        </w:rPr>
        <w:t>koje</w:t>
      </w:r>
      <w:proofErr w:type="spellEnd"/>
      <w:r w:rsidR="009F10EF" w:rsidRPr="007F400F">
        <w:rPr>
          <w:szCs w:val="24"/>
        </w:rPr>
        <w:t xml:space="preserve"> </w:t>
      </w:r>
      <w:proofErr w:type="spellStart"/>
      <w:r w:rsidR="009F10EF" w:rsidRPr="007F400F">
        <w:rPr>
          <w:szCs w:val="24"/>
        </w:rPr>
        <w:t>mogu</w:t>
      </w:r>
      <w:proofErr w:type="spellEnd"/>
      <w:r w:rsidR="009F10EF" w:rsidRPr="007F400F">
        <w:rPr>
          <w:szCs w:val="24"/>
        </w:rPr>
        <w:t xml:space="preserve"> </w:t>
      </w:r>
      <w:proofErr w:type="spellStart"/>
      <w:r w:rsidR="009F10EF" w:rsidRPr="007F400F">
        <w:rPr>
          <w:szCs w:val="24"/>
        </w:rPr>
        <w:t>uticati</w:t>
      </w:r>
      <w:proofErr w:type="spellEnd"/>
      <w:r w:rsidR="009F10EF" w:rsidRPr="007F400F">
        <w:rPr>
          <w:szCs w:val="24"/>
        </w:rPr>
        <w:t xml:space="preserve"> </w:t>
      </w:r>
      <w:proofErr w:type="spellStart"/>
      <w:r w:rsidR="009F10EF" w:rsidRPr="007F400F">
        <w:rPr>
          <w:szCs w:val="24"/>
        </w:rPr>
        <w:t>na</w:t>
      </w:r>
      <w:proofErr w:type="spellEnd"/>
      <w:r w:rsidR="009F10EF" w:rsidRPr="007F400F">
        <w:rPr>
          <w:szCs w:val="24"/>
        </w:rPr>
        <w:t xml:space="preserve"> </w:t>
      </w:r>
      <w:proofErr w:type="spellStart"/>
      <w:r w:rsidR="009F10EF" w:rsidRPr="007F400F">
        <w:rPr>
          <w:szCs w:val="24"/>
        </w:rPr>
        <w:t>mogućnosti</w:t>
      </w:r>
      <w:proofErr w:type="spellEnd"/>
      <w:r w:rsidR="009F10EF" w:rsidRPr="007F400F">
        <w:rPr>
          <w:szCs w:val="24"/>
        </w:rPr>
        <w:t xml:space="preserve"> </w:t>
      </w:r>
      <w:proofErr w:type="spellStart"/>
      <w:r w:rsidR="009F10EF" w:rsidRPr="007F400F">
        <w:rPr>
          <w:szCs w:val="24"/>
        </w:rPr>
        <w:t>finansiranja</w:t>
      </w:r>
      <w:proofErr w:type="spellEnd"/>
      <w:r w:rsidR="009F10EF" w:rsidRPr="007F400F">
        <w:rPr>
          <w:szCs w:val="24"/>
        </w:rPr>
        <w:t xml:space="preserve"> </w:t>
      </w:r>
      <w:proofErr w:type="spellStart"/>
      <w:r w:rsidR="009F10EF" w:rsidRPr="007F400F">
        <w:rPr>
          <w:szCs w:val="24"/>
        </w:rPr>
        <w:t>razvojne</w:t>
      </w:r>
      <w:proofErr w:type="spellEnd"/>
      <w:r w:rsidR="009F10EF" w:rsidRPr="007F400F">
        <w:rPr>
          <w:szCs w:val="24"/>
        </w:rPr>
        <w:t xml:space="preserve"> </w:t>
      </w:r>
      <w:proofErr w:type="spellStart"/>
      <w:r w:rsidR="009F10EF" w:rsidRPr="007F400F">
        <w:rPr>
          <w:szCs w:val="24"/>
        </w:rPr>
        <w:t>strategije</w:t>
      </w:r>
      <w:proofErr w:type="spellEnd"/>
      <w:r w:rsidR="009F10EF" w:rsidRPr="007F400F">
        <w:rPr>
          <w:szCs w:val="24"/>
        </w:rPr>
        <w:t xml:space="preserve"> </w:t>
      </w:r>
      <w:proofErr w:type="spellStart"/>
      <w:r w:rsidR="009F10EF" w:rsidRPr="007F400F">
        <w:rPr>
          <w:szCs w:val="24"/>
        </w:rPr>
        <w:t>najviši</w:t>
      </w:r>
      <w:proofErr w:type="spellEnd"/>
      <w:r w:rsidR="009F10EF" w:rsidRPr="007F400F">
        <w:rPr>
          <w:szCs w:val="24"/>
        </w:rPr>
        <w:t xml:space="preserve"> </w:t>
      </w:r>
      <w:proofErr w:type="spellStart"/>
      <w:r w:rsidR="009F10EF" w:rsidRPr="007F400F">
        <w:rPr>
          <w:szCs w:val="24"/>
        </w:rPr>
        <w:t>rizik</w:t>
      </w:r>
      <w:proofErr w:type="spellEnd"/>
      <w:r w:rsidR="009F10EF" w:rsidRPr="007F400F">
        <w:rPr>
          <w:szCs w:val="24"/>
        </w:rPr>
        <w:t xml:space="preserve"> se </w:t>
      </w:r>
      <w:proofErr w:type="spellStart"/>
      <w:r w:rsidR="009F10EF" w:rsidRPr="007F400F">
        <w:rPr>
          <w:szCs w:val="24"/>
        </w:rPr>
        <w:t>odnosi</w:t>
      </w:r>
      <w:proofErr w:type="spellEnd"/>
      <w:r w:rsidR="009F10EF" w:rsidRPr="007F400F">
        <w:rPr>
          <w:szCs w:val="24"/>
        </w:rPr>
        <w:t xml:space="preserve"> </w:t>
      </w:r>
      <w:proofErr w:type="spellStart"/>
      <w:r w:rsidR="009F10EF" w:rsidRPr="007F400F">
        <w:rPr>
          <w:szCs w:val="24"/>
        </w:rPr>
        <w:t>na</w:t>
      </w:r>
      <w:proofErr w:type="spellEnd"/>
      <w:r w:rsidR="009F10EF" w:rsidRPr="007F400F">
        <w:rPr>
          <w:szCs w:val="24"/>
        </w:rPr>
        <w:t xml:space="preserve"> </w:t>
      </w:r>
      <w:proofErr w:type="spellStart"/>
      <w:r w:rsidR="005F0390" w:rsidRPr="005F0390">
        <w:rPr>
          <w:szCs w:val="24"/>
        </w:rPr>
        <w:t>smanjenje</w:t>
      </w:r>
      <w:proofErr w:type="spellEnd"/>
      <w:r w:rsidR="005F0390" w:rsidRPr="005F0390">
        <w:rPr>
          <w:szCs w:val="24"/>
        </w:rPr>
        <w:t xml:space="preserve"> </w:t>
      </w:r>
      <w:proofErr w:type="spellStart"/>
      <w:r w:rsidR="005F0390" w:rsidRPr="005F0390">
        <w:rPr>
          <w:szCs w:val="24"/>
        </w:rPr>
        <w:t>prihoda</w:t>
      </w:r>
      <w:proofErr w:type="spellEnd"/>
      <w:r w:rsidR="005F0390" w:rsidRPr="005F0390">
        <w:rPr>
          <w:szCs w:val="24"/>
        </w:rPr>
        <w:t xml:space="preserve"> </w:t>
      </w:r>
      <w:proofErr w:type="spellStart"/>
      <w:r w:rsidR="005F0390" w:rsidRPr="005F0390">
        <w:rPr>
          <w:szCs w:val="24"/>
        </w:rPr>
        <w:t>od</w:t>
      </w:r>
      <w:proofErr w:type="spellEnd"/>
      <w:r w:rsidR="005F0390" w:rsidRPr="005F0390">
        <w:rPr>
          <w:szCs w:val="24"/>
        </w:rPr>
        <w:t xml:space="preserve"> </w:t>
      </w:r>
      <w:proofErr w:type="spellStart"/>
      <w:r w:rsidR="005F0390" w:rsidRPr="005F0390">
        <w:rPr>
          <w:szCs w:val="24"/>
        </w:rPr>
        <w:t>hidroakumu</w:t>
      </w:r>
      <w:r w:rsidR="00D52864">
        <w:rPr>
          <w:szCs w:val="24"/>
        </w:rPr>
        <w:t>l</w:t>
      </w:r>
      <w:r w:rsidR="005F0390" w:rsidRPr="005F0390">
        <w:rPr>
          <w:szCs w:val="24"/>
        </w:rPr>
        <w:t>acija</w:t>
      </w:r>
      <w:proofErr w:type="spellEnd"/>
      <w:r w:rsidR="005F0390" w:rsidRPr="005F0390">
        <w:rPr>
          <w:szCs w:val="24"/>
        </w:rPr>
        <w:t>.</w:t>
      </w:r>
      <w:r w:rsidR="009F10EF" w:rsidRPr="005F0390">
        <w:rPr>
          <w:szCs w:val="24"/>
        </w:rPr>
        <w:t xml:space="preserve"> </w:t>
      </w:r>
    </w:p>
    <w:p w:rsidR="005F3867" w:rsidRPr="007F400F" w:rsidRDefault="005F3867" w:rsidP="005C7A4E">
      <w:pPr>
        <w:jc w:val="both"/>
        <w:rPr>
          <w:szCs w:val="24"/>
        </w:rPr>
      </w:pPr>
      <w:proofErr w:type="spellStart"/>
      <w:r w:rsidRPr="007F400F">
        <w:rPr>
          <w:szCs w:val="24"/>
        </w:rPr>
        <w:t>Prognoza</w:t>
      </w:r>
      <w:proofErr w:type="spellEnd"/>
      <w:r w:rsidRPr="007F400F">
        <w:rPr>
          <w:szCs w:val="24"/>
        </w:rPr>
        <w:t xml:space="preserve"> je </w:t>
      </w:r>
      <w:proofErr w:type="spellStart"/>
      <w:r w:rsidRPr="007F400F">
        <w:rPr>
          <w:szCs w:val="24"/>
        </w:rPr>
        <w:t>pripremljena</w:t>
      </w:r>
      <w:proofErr w:type="spellEnd"/>
      <w:r w:rsidRPr="007F400F">
        <w:rPr>
          <w:szCs w:val="24"/>
        </w:rPr>
        <w:t xml:space="preserve"> </w:t>
      </w:r>
      <w:proofErr w:type="spellStart"/>
      <w:r w:rsidR="00F5054C" w:rsidRPr="007F400F">
        <w:rPr>
          <w:szCs w:val="24"/>
        </w:rPr>
        <w:t>putem</w:t>
      </w:r>
      <w:proofErr w:type="spellEnd"/>
      <w:r w:rsidR="00F5054C" w:rsidRPr="007F400F">
        <w:rPr>
          <w:szCs w:val="24"/>
        </w:rPr>
        <w:t xml:space="preserve"> </w:t>
      </w:r>
      <w:proofErr w:type="spellStart"/>
      <w:r w:rsidRPr="007F400F">
        <w:rPr>
          <w:szCs w:val="24"/>
        </w:rPr>
        <w:t>konsulta</w:t>
      </w:r>
      <w:r w:rsidR="00F5054C" w:rsidRPr="007F400F">
        <w:rPr>
          <w:szCs w:val="24"/>
        </w:rPr>
        <w:t>cija</w:t>
      </w:r>
      <w:proofErr w:type="spellEnd"/>
      <w:r w:rsidR="00CA3AF1">
        <w:rPr>
          <w:rStyle w:val="FootnoteReference"/>
          <w:szCs w:val="24"/>
        </w:rPr>
        <w:footnoteReference w:id="1"/>
      </w:r>
      <w:r w:rsidR="00F5054C" w:rsidRPr="007F400F">
        <w:rPr>
          <w:szCs w:val="24"/>
        </w:rPr>
        <w:t xml:space="preserve"> </w:t>
      </w:r>
      <w:proofErr w:type="spellStart"/>
      <w:r w:rsidR="00F5054C" w:rsidRPr="007F400F">
        <w:rPr>
          <w:szCs w:val="24"/>
        </w:rPr>
        <w:t>ključnih</w:t>
      </w:r>
      <w:proofErr w:type="spellEnd"/>
      <w:r w:rsidR="00F5054C" w:rsidRPr="007F400F">
        <w:rPr>
          <w:szCs w:val="24"/>
        </w:rPr>
        <w:t xml:space="preserve"> </w:t>
      </w:r>
      <w:proofErr w:type="spellStart"/>
      <w:r w:rsidR="00F5054C" w:rsidRPr="007F400F">
        <w:rPr>
          <w:szCs w:val="24"/>
        </w:rPr>
        <w:t>članova</w:t>
      </w:r>
      <w:proofErr w:type="spellEnd"/>
      <w:r w:rsidR="00F5054C" w:rsidRPr="007F400F">
        <w:rPr>
          <w:szCs w:val="24"/>
        </w:rPr>
        <w:t xml:space="preserve"> </w:t>
      </w:r>
      <w:proofErr w:type="spellStart"/>
      <w:r w:rsidRPr="007F400F">
        <w:rPr>
          <w:szCs w:val="24"/>
        </w:rPr>
        <w:t>Razvojnog</w:t>
      </w:r>
      <w:proofErr w:type="spellEnd"/>
      <w:r w:rsidRPr="007F400F">
        <w:rPr>
          <w:szCs w:val="24"/>
        </w:rPr>
        <w:t xml:space="preserve"> </w:t>
      </w:r>
      <w:proofErr w:type="spellStart"/>
      <w:r w:rsidRPr="007F400F">
        <w:rPr>
          <w:szCs w:val="24"/>
        </w:rPr>
        <w:t>tima</w:t>
      </w:r>
      <w:proofErr w:type="spellEnd"/>
      <w:r w:rsidRPr="007F400F">
        <w:rPr>
          <w:szCs w:val="24"/>
        </w:rPr>
        <w:t xml:space="preserve"> </w:t>
      </w:r>
      <w:proofErr w:type="spellStart"/>
      <w:r w:rsidR="00F5054C" w:rsidRPr="007F400F">
        <w:rPr>
          <w:szCs w:val="24"/>
        </w:rPr>
        <w:t>i</w:t>
      </w:r>
      <w:proofErr w:type="spellEnd"/>
      <w:r w:rsidR="00F5054C" w:rsidRPr="007F400F">
        <w:rPr>
          <w:szCs w:val="24"/>
        </w:rPr>
        <w:t xml:space="preserve"> </w:t>
      </w:r>
      <w:proofErr w:type="spellStart"/>
      <w:r w:rsidR="00F5054C" w:rsidRPr="007F400F">
        <w:rPr>
          <w:szCs w:val="24"/>
        </w:rPr>
        <w:t>Službe</w:t>
      </w:r>
      <w:proofErr w:type="spellEnd"/>
      <w:r w:rsidR="00F5054C" w:rsidRPr="007F400F">
        <w:rPr>
          <w:szCs w:val="24"/>
        </w:rPr>
        <w:t xml:space="preserve"> </w:t>
      </w:r>
      <w:proofErr w:type="spellStart"/>
      <w:r w:rsidR="00F5054C" w:rsidRPr="007F400F">
        <w:rPr>
          <w:szCs w:val="24"/>
        </w:rPr>
        <w:t>za</w:t>
      </w:r>
      <w:proofErr w:type="spellEnd"/>
      <w:r w:rsidR="00F5054C" w:rsidRPr="007F400F">
        <w:rPr>
          <w:szCs w:val="24"/>
        </w:rPr>
        <w:t xml:space="preserve"> </w:t>
      </w:r>
      <w:proofErr w:type="spellStart"/>
      <w:r w:rsidR="00F5054C" w:rsidRPr="007F400F">
        <w:rPr>
          <w:szCs w:val="24"/>
        </w:rPr>
        <w:t>finansije</w:t>
      </w:r>
      <w:proofErr w:type="spellEnd"/>
      <w:r w:rsidR="00F5054C" w:rsidRPr="007F400F">
        <w:rPr>
          <w:szCs w:val="24"/>
        </w:rPr>
        <w:t xml:space="preserve"> </w:t>
      </w:r>
      <w:proofErr w:type="spellStart"/>
      <w:r w:rsidR="00F5054C" w:rsidRPr="007F400F">
        <w:rPr>
          <w:szCs w:val="24"/>
        </w:rPr>
        <w:t>te</w:t>
      </w:r>
      <w:proofErr w:type="spellEnd"/>
      <w:r w:rsidR="00F5054C" w:rsidRPr="007F400F">
        <w:rPr>
          <w:szCs w:val="24"/>
        </w:rPr>
        <w:t xml:space="preserve"> je </w:t>
      </w:r>
      <w:proofErr w:type="spellStart"/>
      <w:r w:rsidR="00F5054C" w:rsidRPr="007F400F">
        <w:rPr>
          <w:szCs w:val="24"/>
        </w:rPr>
        <w:t>usaglašena</w:t>
      </w:r>
      <w:proofErr w:type="spellEnd"/>
      <w:r w:rsidR="00F5054C" w:rsidRPr="007F400F">
        <w:rPr>
          <w:szCs w:val="24"/>
        </w:rPr>
        <w:t xml:space="preserve"> </w:t>
      </w:r>
      <w:proofErr w:type="spellStart"/>
      <w:r w:rsidR="00F5054C" w:rsidRPr="007F400F">
        <w:rPr>
          <w:szCs w:val="24"/>
        </w:rPr>
        <w:t>sa</w:t>
      </w:r>
      <w:proofErr w:type="spellEnd"/>
      <w:r w:rsidR="00F5054C" w:rsidRPr="007F400F">
        <w:rPr>
          <w:szCs w:val="24"/>
        </w:rPr>
        <w:t xml:space="preserve"> </w:t>
      </w:r>
      <w:proofErr w:type="spellStart"/>
      <w:r w:rsidR="009547FE" w:rsidRPr="005F0390">
        <w:rPr>
          <w:szCs w:val="24"/>
        </w:rPr>
        <w:t>Načelnikom</w:t>
      </w:r>
      <w:proofErr w:type="spellEnd"/>
      <w:r w:rsidR="009547FE" w:rsidRPr="005F0390">
        <w:rPr>
          <w:szCs w:val="24"/>
        </w:rPr>
        <w:t xml:space="preserve"> </w:t>
      </w:r>
      <w:r w:rsidR="00C9760E" w:rsidRPr="005F0390">
        <w:rPr>
          <w:szCs w:val="24"/>
        </w:rPr>
        <w:t xml:space="preserve">JLS </w:t>
      </w:r>
      <w:proofErr w:type="spellStart"/>
      <w:r w:rsidR="009547FE" w:rsidRPr="005F0390">
        <w:rPr>
          <w:szCs w:val="24"/>
        </w:rPr>
        <w:t>Jablanica</w:t>
      </w:r>
      <w:proofErr w:type="spellEnd"/>
      <w:r w:rsidR="00F5054C" w:rsidRPr="005F0390">
        <w:rPr>
          <w:szCs w:val="24"/>
        </w:rPr>
        <w:t xml:space="preserve">. </w:t>
      </w:r>
      <w:proofErr w:type="spellStart"/>
      <w:r w:rsidR="00971EE8" w:rsidRPr="005F0390">
        <w:rPr>
          <w:szCs w:val="24"/>
        </w:rPr>
        <w:t>Prognoza</w:t>
      </w:r>
      <w:proofErr w:type="spellEnd"/>
      <w:r w:rsidR="00971EE8" w:rsidRPr="005F0390">
        <w:rPr>
          <w:szCs w:val="24"/>
        </w:rPr>
        <w:t xml:space="preserve"> je </w:t>
      </w:r>
      <w:proofErr w:type="spellStart"/>
      <w:r w:rsidR="00971EE8" w:rsidRPr="005F0390">
        <w:rPr>
          <w:szCs w:val="24"/>
        </w:rPr>
        <w:t>će</w:t>
      </w:r>
      <w:proofErr w:type="spellEnd"/>
      <w:r w:rsidR="00971EE8" w:rsidRPr="005F0390">
        <w:rPr>
          <w:szCs w:val="24"/>
        </w:rPr>
        <w:t xml:space="preserve"> </w:t>
      </w:r>
      <w:proofErr w:type="spellStart"/>
      <w:r w:rsidR="00971EE8" w:rsidRPr="005F0390">
        <w:rPr>
          <w:szCs w:val="24"/>
        </w:rPr>
        <w:t>biti</w:t>
      </w:r>
      <w:proofErr w:type="spellEnd"/>
      <w:r w:rsidR="00971EE8" w:rsidRPr="005F0390">
        <w:rPr>
          <w:szCs w:val="24"/>
        </w:rPr>
        <w:t xml:space="preserve"> </w:t>
      </w:r>
      <w:proofErr w:type="spellStart"/>
      <w:r w:rsidR="00971EE8" w:rsidRPr="005F0390">
        <w:rPr>
          <w:szCs w:val="24"/>
        </w:rPr>
        <w:t>korištena</w:t>
      </w:r>
      <w:proofErr w:type="spellEnd"/>
      <w:r w:rsidR="00971EE8" w:rsidRPr="005F0390">
        <w:rPr>
          <w:szCs w:val="24"/>
        </w:rPr>
        <w:t xml:space="preserve"> </w:t>
      </w:r>
      <w:proofErr w:type="spellStart"/>
      <w:r w:rsidR="00971EE8" w:rsidRPr="005F0390">
        <w:rPr>
          <w:szCs w:val="24"/>
        </w:rPr>
        <w:t>kao</w:t>
      </w:r>
      <w:proofErr w:type="spellEnd"/>
      <w:r w:rsidR="00971EE8" w:rsidRPr="005F0390">
        <w:rPr>
          <w:szCs w:val="24"/>
        </w:rPr>
        <w:t xml:space="preserve"> </w:t>
      </w:r>
      <w:proofErr w:type="spellStart"/>
      <w:r w:rsidR="00971EE8" w:rsidRPr="005F0390">
        <w:rPr>
          <w:szCs w:val="24"/>
        </w:rPr>
        <w:t>polazna</w:t>
      </w:r>
      <w:proofErr w:type="spellEnd"/>
      <w:r w:rsidR="00971EE8" w:rsidRPr="005F0390">
        <w:rPr>
          <w:szCs w:val="24"/>
        </w:rPr>
        <w:t xml:space="preserve"> </w:t>
      </w:r>
      <w:proofErr w:type="spellStart"/>
      <w:r w:rsidR="00971EE8" w:rsidRPr="005F0390">
        <w:rPr>
          <w:szCs w:val="24"/>
        </w:rPr>
        <w:t>osnova</w:t>
      </w:r>
      <w:proofErr w:type="spellEnd"/>
      <w:r w:rsidR="00971EE8" w:rsidRPr="005F0390">
        <w:rPr>
          <w:szCs w:val="24"/>
        </w:rPr>
        <w:t xml:space="preserve"> </w:t>
      </w:r>
      <w:proofErr w:type="spellStart"/>
      <w:r w:rsidR="00971EE8" w:rsidRPr="005F0390">
        <w:rPr>
          <w:szCs w:val="24"/>
        </w:rPr>
        <w:t>za</w:t>
      </w:r>
      <w:proofErr w:type="spellEnd"/>
      <w:r w:rsidR="00971EE8" w:rsidRPr="005F0390">
        <w:rPr>
          <w:szCs w:val="24"/>
        </w:rPr>
        <w:t xml:space="preserve"> </w:t>
      </w:r>
      <w:proofErr w:type="spellStart"/>
      <w:r w:rsidR="00971EE8" w:rsidRPr="005F0390">
        <w:rPr>
          <w:szCs w:val="24"/>
        </w:rPr>
        <w:t>pripremu</w:t>
      </w:r>
      <w:proofErr w:type="spellEnd"/>
      <w:r w:rsidR="00971EE8" w:rsidRPr="005F0390">
        <w:rPr>
          <w:szCs w:val="24"/>
        </w:rPr>
        <w:t xml:space="preserve"> </w:t>
      </w:r>
      <w:proofErr w:type="spellStart"/>
      <w:r w:rsidR="00971EE8" w:rsidRPr="005F0390">
        <w:rPr>
          <w:szCs w:val="24"/>
        </w:rPr>
        <w:t>sektorskih</w:t>
      </w:r>
      <w:proofErr w:type="spellEnd"/>
      <w:r w:rsidR="00971EE8" w:rsidRPr="005F0390">
        <w:rPr>
          <w:szCs w:val="24"/>
        </w:rPr>
        <w:t xml:space="preserve"> </w:t>
      </w:r>
      <w:proofErr w:type="spellStart"/>
      <w:r w:rsidR="00971EE8" w:rsidRPr="005F0390">
        <w:rPr>
          <w:szCs w:val="24"/>
        </w:rPr>
        <w:t>planova</w:t>
      </w:r>
      <w:proofErr w:type="spellEnd"/>
      <w:r w:rsidR="00971EE8" w:rsidRPr="005F0390">
        <w:rPr>
          <w:szCs w:val="24"/>
        </w:rPr>
        <w:t xml:space="preserve"> </w:t>
      </w:r>
      <w:proofErr w:type="spellStart"/>
      <w:r w:rsidR="00971EE8" w:rsidRPr="005F0390">
        <w:rPr>
          <w:szCs w:val="24"/>
        </w:rPr>
        <w:t>revidirane</w:t>
      </w:r>
      <w:proofErr w:type="spellEnd"/>
      <w:r w:rsidR="00971EE8" w:rsidRPr="005F0390">
        <w:rPr>
          <w:szCs w:val="24"/>
        </w:rPr>
        <w:t xml:space="preserve"> </w:t>
      </w:r>
      <w:proofErr w:type="spellStart"/>
      <w:r w:rsidR="00971EE8" w:rsidRPr="005F0390">
        <w:rPr>
          <w:szCs w:val="24"/>
        </w:rPr>
        <w:t>razvojne</w:t>
      </w:r>
      <w:proofErr w:type="spellEnd"/>
      <w:r w:rsidR="00971EE8" w:rsidRPr="005F0390">
        <w:rPr>
          <w:szCs w:val="24"/>
        </w:rPr>
        <w:t xml:space="preserve"> </w:t>
      </w:r>
      <w:proofErr w:type="spellStart"/>
      <w:r w:rsidR="00971EE8" w:rsidRPr="005F0390">
        <w:rPr>
          <w:szCs w:val="24"/>
        </w:rPr>
        <w:t>strategije</w:t>
      </w:r>
      <w:proofErr w:type="spellEnd"/>
      <w:r w:rsidR="00971EE8" w:rsidRPr="005F0390">
        <w:rPr>
          <w:szCs w:val="24"/>
        </w:rPr>
        <w:t xml:space="preserve"> </w:t>
      </w:r>
      <w:r w:rsidR="00C9760E" w:rsidRPr="005F0390">
        <w:rPr>
          <w:szCs w:val="24"/>
        </w:rPr>
        <w:t>JLS</w:t>
      </w:r>
      <w:r w:rsidR="00971EE8" w:rsidRPr="005F0390">
        <w:rPr>
          <w:szCs w:val="24"/>
        </w:rPr>
        <w:t>.</w:t>
      </w:r>
    </w:p>
    <w:p w:rsidR="00324937" w:rsidRDefault="00324937" w:rsidP="005C7A4E">
      <w:pPr>
        <w:jc w:val="both"/>
        <w:rPr>
          <w:szCs w:val="24"/>
        </w:rPr>
      </w:pPr>
    </w:p>
    <w:p w:rsidR="00B91C1E" w:rsidRDefault="00B91C1E" w:rsidP="005C7A4E">
      <w:pPr>
        <w:jc w:val="both"/>
        <w:rPr>
          <w:szCs w:val="24"/>
        </w:rPr>
      </w:pPr>
    </w:p>
    <w:p w:rsidR="00165EFC" w:rsidRPr="00324937" w:rsidRDefault="00324937" w:rsidP="00324937">
      <w:pPr>
        <w:spacing w:before="60" w:after="60"/>
        <w:jc w:val="both"/>
        <w:rPr>
          <w:b/>
          <w:sz w:val="24"/>
          <w:lang w:val="hr-BA"/>
        </w:rPr>
      </w:pPr>
      <w:r w:rsidRPr="00324937">
        <w:rPr>
          <w:b/>
          <w:sz w:val="24"/>
          <w:lang w:val="hr-BA"/>
        </w:rPr>
        <w:t xml:space="preserve">Pregled </w:t>
      </w:r>
      <w:r w:rsidR="003C4538">
        <w:rPr>
          <w:b/>
          <w:sz w:val="24"/>
          <w:lang w:val="hr-BA"/>
        </w:rPr>
        <w:t xml:space="preserve">procjene </w:t>
      </w:r>
      <w:r w:rsidRPr="00324937">
        <w:rPr>
          <w:b/>
          <w:sz w:val="24"/>
          <w:lang w:val="hr-BA"/>
        </w:rPr>
        <w:t xml:space="preserve">po glavnim izvorima finansiranja za period </w:t>
      </w:r>
      <w:r>
        <w:rPr>
          <w:b/>
          <w:sz w:val="24"/>
          <w:lang w:val="hr-BA"/>
        </w:rPr>
        <w:t>201</w:t>
      </w:r>
      <w:r w:rsidR="006D68BE">
        <w:rPr>
          <w:b/>
          <w:sz w:val="24"/>
          <w:lang w:val="hr-BA"/>
        </w:rPr>
        <w:t>9</w:t>
      </w:r>
      <w:r>
        <w:rPr>
          <w:b/>
          <w:sz w:val="24"/>
          <w:lang w:val="hr-BA"/>
        </w:rPr>
        <w:t>.-202</w:t>
      </w:r>
      <w:r w:rsidR="006D68BE">
        <w:rPr>
          <w:b/>
          <w:sz w:val="24"/>
          <w:lang w:val="hr-BA"/>
        </w:rPr>
        <w:t>3</w:t>
      </w:r>
      <w:r>
        <w:rPr>
          <w:b/>
          <w:sz w:val="24"/>
          <w:lang w:val="hr-BA"/>
        </w:rPr>
        <w:t>. godine</w:t>
      </w:r>
    </w:p>
    <w:tbl>
      <w:tblPr>
        <w:tblW w:w="130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1800"/>
        <w:gridCol w:w="1710"/>
        <w:gridCol w:w="1620"/>
        <w:gridCol w:w="1440"/>
        <w:gridCol w:w="1440"/>
        <w:gridCol w:w="1530"/>
      </w:tblGrid>
      <w:tr w:rsidR="006655BC" w:rsidRPr="00A03DC8" w:rsidTr="00165EFC">
        <w:trPr>
          <w:trHeight w:val="440"/>
        </w:trPr>
        <w:tc>
          <w:tcPr>
            <w:tcW w:w="3510" w:type="dxa"/>
            <w:vMerge w:val="restart"/>
            <w:vAlign w:val="center"/>
          </w:tcPr>
          <w:p w:rsidR="006655BC" w:rsidRPr="00A03DC8" w:rsidRDefault="006655BC" w:rsidP="00F11BDA">
            <w:pPr>
              <w:spacing w:after="0" w:line="240" w:lineRule="auto"/>
              <w:jc w:val="center"/>
              <w:rPr>
                <w:b/>
                <w:lang w:val="hr-BA"/>
              </w:rPr>
            </w:pPr>
            <w:r w:rsidRPr="00A03DC8">
              <w:rPr>
                <w:b/>
                <w:lang w:val="hr-BA"/>
              </w:rPr>
              <w:t xml:space="preserve">Izvori finansiranja lokalne razvojne strategije </w:t>
            </w:r>
          </w:p>
        </w:tc>
        <w:tc>
          <w:tcPr>
            <w:tcW w:w="8010" w:type="dxa"/>
            <w:gridSpan w:val="5"/>
            <w:vAlign w:val="center"/>
          </w:tcPr>
          <w:p w:rsidR="006655BC" w:rsidRPr="00A03DC8" w:rsidRDefault="006655BC" w:rsidP="00F11BDA">
            <w:pPr>
              <w:spacing w:after="0" w:line="240" w:lineRule="auto"/>
              <w:jc w:val="center"/>
              <w:rPr>
                <w:b/>
                <w:lang w:val="hr-BA"/>
              </w:rPr>
            </w:pPr>
            <w:r w:rsidRPr="00A03DC8">
              <w:rPr>
                <w:b/>
                <w:lang w:val="hr-BA"/>
              </w:rPr>
              <w:t>Okvirna procjena po godinama</w:t>
            </w:r>
          </w:p>
        </w:tc>
        <w:tc>
          <w:tcPr>
            <w:tcW w:w="1530" w:type="dxa"/>
            <w:vMerge w:val="restart"/>
            <w:vAlign w:val="center"/>
          </w:tcPr>
          <w:p w:rsidR="006655BC" w:rsidRPr="00A03DC8" w:rsidRDefault="006655BC" w:rsidP="00F11BDA">
            <w:pPr>
              <w:spacing w:after="0" w:line="240" w:lineRule="auto"/>
              <w:jc w:val="center"/>
              <w:rPr>
                <w:b/>
                <w:lang w:val="hr-BA"/>
              </w:rPr>
            </w:pPr>
            <w:r w:rsidRPr="00A03DC8">
              <w:rPr>
                <w:b/>
                <w:lang w:val="hr-BA"/>
              </w:rPr>
              <w:t>UKUPNO</w:t>
            </w:r>
          </w:p>
          <w:p w:rsidR="006655BC" w:rsidRPr="00A03DC8" w:rsidRDefault="006655BC" w:rsidP="00F11BDA">
            <w:pPr>
              <w:spacing w:after="0" w:line="240" w:lineRule="auto"/>
              <w:jc w:val="center"/>
              <w:rPr>
                <w:b/>
                <w:lang w:val="hr-BA"/>
              </w:rPr>
            </w:pPr>
            <w:r w:rsidRPr="00A03DC8">
              <w:rPr>
                <w:lang w:val="hr-BA"/>
              </w:rPr>
              <w:t>(u KM)</w:t>
            </w:r>
          </w:p>
        </w:tc>
      </w:tr>
      <w:tr w:rsidR="00E10BB8" w:rsidRPr="00A03DC8" w:rsidTr="00165EFC">
        <w:trPr>
          <w:trHeight w:val="440"/>
        </w:trPr>
        <w:tc>
          <w:tcPr>
            <w:tcW w:w="3510" w:type="dxa"/>
            <w:vMerge/>
            <w:vAlign w:val="center"/>
          </w:tcPr>
          <w:p w:rsidR="00E10BB8" w:rsidRPr="00A03DC8" w:rsidRDefault="00E10BB8" w:rsidP="00E10BB8">
            <w:pPr>
              <w:spacing w:after="0" w:line="240" w:lineRule="auto"/>
              <w:jc w:val="center"/>
              <w:rPr>
                <w:b/>
                <w:lang w:val="hr-BA"/>
              </w:rPr>
            </w:pPr>
          </w:p>
        </w:tc>
        <w:tc>
          <w:tcPr>
            <w:tcW w:w="1800" w:type="dxa"/>
            <w:shd w:val="pct25" w:color="auto" w:fill="auto"/>
            <w:vAlign w:val="center"/>
          </w:tcPr>
          <w:p w:rsidR="00E10BB8" w:rsidRPr="00365B5C" w:rsidRDefault="00E10BB8" w:rsidP="00E10BB8">
            <w:pPr>
              <w:spacing w:after="0" w:line="240" w:lineRule="auto"/>
              <w:jc w:val="center"/>
              <w:rPr>
                <w:b/>
                <w:lang w:val="hr-BA"/>
              </w:rPr>
            </w:pPr>
            <w:r w:rsidRPr="00365B5C">
              <w:rPr>
                <w:b/>
                <w:lang w:val="hr-BA"/>
              </w:rPr>
              <w:t>201</w:t>
            </w:r>
            <w:r w:rsidR="006D68BE" w:rsidRPr="00365B5C">
              <w:rPr>
                <w:b/>
                <w:lang w:val="hr-BA"/>
              </w:rPr>
              <w:t>9</w:t>
            </w:r>
          </w:p>
        </w:tc>
        <w:tc>
          <w:tcPr>
            <w:tcW w:w="1710" w:type="dxa"/>
            <w:shd w:val="pct15" w:color="auto" w:fill="auto"/>
            <w:vAlign w:val="center"/>
          </w:tcPr>
          <w:p w:rsidR="00E10BB8" w:rsidRPr="00365B5C" w:rsidRDefault="00E10BB8" w:rsidP="00E10BB8">
            <w:pPr>
              <w:spacing w:after="0" w:line="240" w:lineRule="auto"/>
              <w:jc w:val="center"/>
              <w:rPr>
                <w:b/>
                <w:lang w:val="hr-BA"/>
              </w:rPr>
            </w:pPr>
            <w:r w:rsidRPr="00365B5C">
              <w:rPr>
                <w:b/>
                <w:lang w:val="hr-BA"/>
              </w:rPr>
              <w:t>20</w:t>
            </w:r>
            <w:r w:rsidR="006D68BE" w:rsidRPr="00365B5C">
              <w:rPr>
                <w:b/>
                <w:lang w:val="hr-BA"/>
              </w:rPr>
              <w:t>20</w:t>
            </w:r>
          </w:p>
        </w:tc>
        <w:tc>
          <w:tcPr>
            <w:tcW w:w="1620" w:type="dxa"/>
            <w:shd w:val="pct15" w:color="auto" w:fill="auto"/>
            <w:vAlign w:val="center"/>
          </w:tcPr>
          <w:p w:rsidR="00E10BB8" w:rsidRPr="00365B5C" w:rsidRDefault="00E10BB8" w:rsidP="00E10BB8">
            <w:pPr>
              <w:spacing w:after="0" w:line="240" w:lineRule="auto"/>
              <w:jc w:val="center"/>
              <w:rPr>
                <w:b/>
                <w:lang w:val="hr-BA"/>
              </w:rPr>
            </w:pPr>
            <w:r w:rsidRPr="00365B5C">
              <w:rPr>
                <w:b/>
                <w:lang w:val="hr-BA"/>
              </w:rPr>
              <w:t>20</w:t>
            </w:r>
            <w:r w:rsidR="006A37B6" w:rsidRPr="00365B5C">
              <w:rPr>
                <w:b/>
                <w:lang w:val="hr-BA"/>
              </w:rPr>
              <w:t>2</w:t>
            </w:r>
            <w:r w:rsidR="006D68BE" w:rsidRPr="00365B5C">
              <w:rPr>
                <w:b/>
                <w:lang w:val="hr-BA"/>
              </w:rPr>
              <w:t>1</w:t>
            </w:r>
          </w:p>
        </w:tc>
        <w:tc>
          <w:tcPr>
            <w:tcW w:w="1440" w:type="dxa"/>
            <w:shd w:val="pct5" w:color="auto" w:fill="auto"/>
            <w:vAlign w:val="center"/>
          </w:tcPr>
          <w:p w:rsidR="00E10BB8" w:rsidRPr="00365B5C" w:rsidRDefault="00E10BB8" w:rsidP="00E10BB8">
            <w:pPr>
              <w:spacing w:after="0" w:line="240" w:lineRule="auto"/>
              <w:jc w:val="center"/>
              <w:rPr>
                <w:b/>
                <w:lang w:val="hr-BA"/>
              </w:rPr>
            </w:pPr>
            <w:r w:rsidRPr="00365B5C">
              <w:rPr>
                <w:b/>
                <w:lang w:val="hr-BA"/>
              </w:rPr>
              <w:t>202</w:t>
            </w:r>
            <w:r w:rsidR="006D68BE" w:rsidRPr="00365B5C">
              <w:rPr>
                <w:b/>
                <w:lang w:val="hr-BA"/>
              </w:rPr>
              <w:t>2</w:t>
            </w:r>
          </w:p>
        </w:tc>
        <w:tc>
          <w:tcPr>
            <w:tcW w:w="1440" w:type="dxa"/>
            <w:shd w:val="pct5" w:color="auto" w:fill="auto"/>
            <w:vAlign w:val="center"/>
          </w:tcPr>
          <w:p w:rsidR="00E10BB8" w:rsidRPr="00365B5C" w:rsidRDefault="00E10BB8" w:rsidP="00E10BB8">
            <w:pPr>
              <w:spacing w:after="0" w:line="240" w:lineRule="auto"/>
              <w:jc w:val="center"/>
              <w:rPr>
                <w:b/>
                <w:lang w:val="hr-BA"/>
              </w:rPr>
            </w:pPr>
            <w:r w:rsidRPr="00365B5C">
              <w:rPr>
                <w:b/>
                <w:lang w:val="hr-BA"/>
              </w:rPr>
              <w:t>202</w:t>
            </w:r>
            <w:r w:rsidR="00400A81" w:rsidRPr="00365B5C">
              <w:rPr>
                <w:b/>
                <w:lang w:val="hr-BA"/>
              </w:rPr>
              <w:t>3</w:t>
            </w:r>
          </w:p>
        </w:tc>
        <w:tc>
          <w:tcPr>
            <w:tcW w:w="1530" w:type="dxa"/>
            <w:vMerge/>
            <w:vAlign w:val="center"/>
          </w:tcPr>
          <w:p w:rsidR="00E10BB8" w:rsidRPr="00A03DC8" w:rsidRDefault="00E10BB8" w:rsidP="00E10BB8">
            <w:pPr>
              <w:spacing w:after="0" w:line="240" w:lineRule="auto"/>
              <w:jc w:val="center"/>
              <w:rPr>
                <w:b/>
                <w:lang w:val="hr-BA"/>
              </w:rPr>
            </w:pPr>
          </w:p>
        </w:tc>
      </w:tr>
      <w:tr w:rsidR="003B33F2" w:rsidRPr="00C671A6" w:rsidTr="006517E0">
        <w:trPr>
          <w:trHeight w:val="188"/>
        </w:trPr>
        <w:tc>
          <w:tcPr>
            <w:tcW w:w="3510" w:type="dxa"/>
            <w:vAlign w:val="center"/>
          </w:tcPr>
          <w:p w:rsidR="003B33F2" w:rsidRPr="00324937" w:rsidRDefault="003B33F2" w:rsidP="008E659D">
            <w:pPr>
              <w:spacing w:before="60" w:after="60" w:line="240" w:lineRule="auto"/>
              <w:rPr>
                <w:lang w:val="hr-BA"/>
              </w:rPr>
            </w:pPr>
            <w:r w:rsidRPr="00324937">
              <w:rPr>
                <w:lang w:val="hr-BA"/>
              </w:rPr>
              <w:t xml:space="preserve">Iz budžeta </w:t>
            </w:r>
            <w:r>
              <w:rPr>
                <w:lang w:val="hr-BA"/>
              </w:rPr>
              <w:t xml:space="preserve">JLS </w:t>
            </w:r>
            <w:r w:rsidR="00D52864">
              <w:rPr>
                <w:lang w:val="hr-BA"/>
              </w:rPr>
              <w:t xml:space="preserve">Jablanica </w:t>
            </w:r>
            <w:r w:rsidRPr="00324937">
              <w:rPr>
                <w:lang w:val="hr-BA"/>
              </w:rPr>
              <w:t>(u KM)</w:t>
            </w:r>
            <w:r w:rsidRPr="00324937">
              <w:rPr>
                <w:rStyle w:val="FootnoteReference"/>
                <w:b/>
                <w:lang w:val="hr-BA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3B33F2" w:rsidRPr="006517E0" w:rsidRDefault="003B33F2" w:rsidP="006517E0">
            <w:pPr>
              <w:spacing w:before="60" w:after="60" w:line="240" w:lineRule="auto"/>
              <w:jc w:val="right"/>
              <w:rPr>
                <w:lang w:val="hr-BA"/>
              </w:rPr>
            </w:pPr>
            <w:r>
              <w:rPr>
                <w:rFonts w:cs="Calibri"/>
                <w:color w:val="000000"/>
                <w:lang w:val="hr-BA"/>
              </w:rPr>
              <w:t>1.950.000</w:t>
            </w:r>
          </w:p>
        </w:tc>
        <w:tc>
          <w:tcPr>
            <w:tcW w:w="1710" w:type="dxa"/>
            <w:vAlign w:val="center"/>
          </w:tcPr>
          <w:p w:rsidR="003B33F2" w:rsidRPr="006517E0" w:rsidRDefault="003B33F2" w:rsidP="006517E0">
            <w:pPr>
              <w:spacing w:before="60" w:after="60" w:line="240" w:lineRule="auto"/>
              <w:jc w:val="right"/>
              <w:rPr>
                <w:lang w:val="hr-BA"/>
              </w:rPr>
            </w:pPr>
            <w:r>
              <w:rPr>
                <w:rFonts w:cs="Calibri"/>
                <w:color w:val="000000"/>
                <w:lang w:val="hr-BA"/>
              </w:rPr>
              <w:t>1.950.000</w:t>
            </w:r>
          </w:p>
        </w:tc>
        <w:tc>
          <w:tcPr>
            <w:tcW w:w="1620" w:type="dxa"/>
            <w:vAlign w:val="center"/>
          </w:tcPr>
          <w:p w:rsidR="003B33F2" w:rsidRPr="006517E0" w:rsidRDefault="003B33F2" w:rsidP="006517E0">
            <w:pPr>
              <w:spacing w:before="60" w:after="60" w:line="240" w:lineRule="auto"/>
              <w:jc w:val="right"/>
              <w:rPr>
                <w:lang w:val="hr-BA"/>
              </w:rPr>
            </w:pPr>
            <w:r>
              <w:rPr>
                <w:rFonts w:cs="Calibri"/>
                <w:color w:val="000000"/>
                <w:lang w:val="hr-BA"/>
              </w:rPr>
              <w:t>1.950.000</w:t>
            </w:r>
          </w:p>
        </w:tc>
        <w:tc>
          <w:tcPr>
            <w:tcW w:w="1440" w:type="dxa"/>
            <w:vAlign w:val="center"/>
          </w:tcPr>
          <w:p w:rsidR="003B33F2" w:rsidRPr="006517E0" w:rsidRDefault="003B33F2" w:rsidP="006517E0">
            <w:pPr>
              <w:spacing w:before="60" w:after="60" w:line="240" w:lineRule="auto"/>
              <w:jc w:val="right"/>
              <w:rPr>
                <w:lang w:val="hr-BA"/>
              </w:rPr>
            </w:pPr>
            <w:r>
              <w:rPr>
                <w:rFonts w:cs="Calibri"/>
                <w:color w:val="000000"/>
                <w:lang w:val="hr-BA"/>
              </w:rPr>
              <w:t>2.050.000</w:t>
            </w:r>
          </w:p>
        </w:tc>
        <w:tc>
          <w:tcPr>
            <w:tcW w:w="1440" w:type="dxa"/>
            <w:vAlign w:val="center"/>
          </w:tcPr>
          <w:p w:rsidR="003B33F2" w:rsidRPr="006517E0" w:rsidRDefault="003B33F2" w:rsidP="006517E0">
            <w:pPr>
              <w:spacing w:before="60" w:after="60" w:line="240" w:lineRule="auto"/>
              <w:jc w:val="right"/>
              <w:rPr>
                <w:lang w:val="hr-BA"/>
              </w:rPr>
            </w:pPr>
            <w:r>
              <w:rPr>
                <w:rFonts w:cs="Calibri"/>
                <w:color w:val="000000"/>
                <w:lang w:val="hr-BA"/>
              </w:rPr>
              <w:t>2.050.000</w:t>
            </w:r>
          </w:p>
        </w:tc>
        <w:tc>
          <w:tcPr>
            <w:tcW w:w="1530" w:type="dxa"/>
            <w:vAlign w:val="center"/>
          </w:tcPr>
          <w:p w:rsidR="003B33F2" w:rsidRPr="006517E0" w:rsidRDefault="003B33F2" w:rsidP="006517E0">
            <w:pPr>
              <w:spacing w:before="60" w:after="60" w:line="240" w:lineRule="auto"/>
              <w:jc w:val="right"/>
              <w:rPr>
                <w:lang w:val="hr-BA"/>
              </w:rPr>
            </w:pPr>
            <w:r>
              <w:rPr>
                <w:rFonts w:cs="Calibri"/>
                <w:color w:val="000000"/>
                <w:lang w:val="hr-BA"/>
              </w:rPr>
              <w:t>9.950.000</w:t>
            </w:r>
          </w:p>
        </w:tc>
      </w:tr>
      <w:tr w:rsidR="00365B5C" w:rsidRPr="00C671A6" w:rsidTr="006517E0">
        <w:trPr>
          <w:trHeight w:val="539"/>
        </w:trPr>
        <w:tc>
          <w:tcPr>
            <w:tcW w:w="3510" w:type="dxa"/>
            <w:vAlign w:val="center"/>
          </w:tcPr>
          <w:p w:rsidR="00365B5C" w:rsidRPr="00324937" w:rsidRDefault="00365B5C" w:rsidP="00E10BB8">
            <w:pPr>
              <w:spacing w:before="60" w:after="60" w:line="240" w:lineRule="auto"/>
              <w:rPr>
                <w:lang w:val="hr-BA"/>
              </w:rPr>
            </w:pPr>
            <w:r>
              <w:rPr>
                <w:lang w:val="hr-BA"/>
              </w:rPr>
              <w:t>Iz e</w:t>
            </w:r>
            <w:r w:rsidRPr="00324937">
              <w:rPr>
                <w:lang w:val="hr-BA"/>
              </w:rPr>
              <w:t>ksterni</w:t>
            </w:r>
            <w:r>
              <w:rPr>
                <w:lang w:val="hr-BA"/>
              </w:rPr>
              <w:t>h</w:t>
            </w:r>
            <w:r w:rsidRPr="00324937">
              <w:rPr>
                <w:lang w:val="hr-BA"/>
              </w:rPr>
              <w:t xml:space="preserve"> izvor</w:t>
            </w:r>
            <w:r>
              <w:rPr>
                <w:lang w:val="hr-BA"/>
              </w:rPr>
              <w:t>a</w:t>
            </w:r>
            <w:r w:rsidRPr="00324937">
              <w:rPr>
                <w:lang w:val="hr-BA"/>
              </w:rPr>
              <w:t xml:space="preserve"> (</w:t>
            </w:r>
            <w:r w:rsidRPr="00324937">
              <w:rPr>
                <w:i/>
                <w:lang w:val="hr-BA"/>
              </w:rPr>
              <w:t>krediti, entiteti, kantoni, država, javna preduzeća i privatni izvori</w:t>
            </w:r>
            <w:r w:rsidRPr="00324937">
              <w:rPr>
                <w:lang w:val="hr-BA"/>
              </w:rPr>
              <w:t>) (u KM)</w:t>
            </w:r>
          </w:p>
        </w:tc>
        <w:tc>
          <w:tcPr>
            <w:tcW w:w="1800" w:type="dxa"/>
            <w:vAlign w:val="center"/>
          </w:tcPr>
          <w:p w:rsidR="00365B5C" w:rsidRPr="006517E0" w:rsidRDefault="00365B5C" w:rsidP="006517E0">
            <w:pPr>
              <w:spacing w:before="60" w:after="60" w:line="240" w:lineRule="auto"/>
              <w:jc w:val="right"/>
              <w:rPr>
                <w:lang w:val="hr-BA"/>
              </w:rPr>
            </w:pPr>
            <w:r w:rsidRPr="006517E0">
              <w:rPr>
                <w:lang w:val="hr-BA"/>
              </w:rPr>
              <w:t>360.000</w:t>
            </w:r>
          </w:p>
        </w:tc>
        <w:tc>
          <w:tcPr>
            <w:tcW w:w="1710" w:type="dxa"/>
            <w:vAlign w:val="center"/>
          </w:tcPr>
          <w:p w:rsidR="00365B5C" w:rsidRPr="006517E0" w:rsidRDefault="00365B5C" w:rsidP="006517E0">
            <w:pPr>
              <w:spacing w:before="60" w:after="60" w:line="240" w:lineRule="auto"/>
              <w:jc w:val="right"/>
              <w:rPr>
                <w:lang w:val="hr-BA"/>
              </w:rPr>
            </w:pPr>
            <w:r w:rsidRPr="006517E0">
              <w:rPr>
                <w:lang w:val="hr-BA"/>
              </w:rPr>
              <w:t>410.000</w:t>
            </w:r>
          </w:p>
        </w:tc>
        <w:tc>
          <w:tcPr>
            <w:tcW w:w="1620" w:type="dxa"/>
            <w:vAlign w:val="center"/>
          </w:tcPr>
          <w:p w:rsidR="00365B5C" w:rsidRPr="006517E0" w:rsidRDefault="00365B5C" w:rsidP="006517E0">
            <w:pPr>
              <w:spacing w:before="60" w:after="60" w:line="240" w:lineRule="auto"/>
              <w:jc w:val="right"/>
              <w:rPr>
                <w:lang w:val="hr-BA"/>
              </w:rPr>
            </w:pPr>
            <w:r w:rsidRPr="006517E0">
              <w:rPr>
                <w:lang w:val="hr-BA"/>
              </w:rPr>
              <w:t>410.000</w:t>
            </w:r>
          </w:p>
        </w:tc>
        <w:tc>
          <w:tcPr>
            <w:tcW w:w="1440" w:type="dxa"/>
            <w:vAlign w:val="center"/>
          </w:tcPr>
          <w:p w:rsidR="00365B5C" w:rsidRPr="006517E0" w:rsidRDefault="00365B5C" w:rsidP="006517E0">
            <w:pPr>
              <w:spacing w:before="60" w:after="60" w:line="240" w:lineRule="auto"/>
              <w:jc w:val="right"/>
              <w:rPr>
                <w:lang w:val="hr-BA"/>
              </w:rPr>
            </w:pPr>
            <w:r w:rsidRPr="006517E0">
              <w:rPr>
                <w:lang w:val="hr-BA"/>
              </w:rPr>
              <w:t>410.000</w:t>
            </w:r>
          </w:p>
        </w:tc>
        <w:tc>
          <w:tcPr>
            <w:tcW w:w="1440" w:type="dxa"/>
            <w:vAlign w:val="center"/>
          </w:tcPr>
          <w:p w:rsidR="00365B5C" w:rsidRPr="006517E0" w:rsidRDefault="00365B5C" w:rsidP="006517E0">
            <w:pPr>
              <w:spacing w:before="60" w:after="60" w:line="240" w:lineRule="auto"/>
              <w:jc w:val="right"/>
              <w:rPr>
                <w:lang w:val="hr-BA"/>
              </w:rPr>
            </w:pPr>
            <w:r w:rsidRPr="006517E0">
              <w:rPr>
                <w:lang w:val="hr-BA"/>
              </w:rPr>
              <w:t>410.000</w:t>
            </w:r>
          </w:p>
        </w:tc>
        <w:tc>
          <w:tcPr>
            <w:tcW w:w="1530" w:type="dxa"/>
            <w:vAlign w:val="center"/>
          </w:tcPr>
          <w:p w:rsidR="00365B5C" w:rsidRPr="006517E0" w:rsidRDefault="00365B5C" w:rsidP="006517E0">
            <w:pPr>
              <w:spacing w:before="60" w:after="60" w:line="240" w:lineRule="auto"/>
              <w:jc w:val="right"/>
              <w:rPr>
                <w:lang w:val="hr-BA"/>
              </w:rPr>
            </w:pPr>
            <w:r w:rsidRPr="006517E0">
              <w:rPr>
                <w:lang w:val="hr-BA"/>
              </w:rPr>
              <w:t>2.000.000</w:t>
            </w:r>
          </w:p>
        </w:tc>
      </w:tr>
      <w:tr w:rsidR="00E35079" w:rsidRPr="00C671A6" w:rsidTr="000F4966">
        <w:trPr>
          <w:trHeight w:val="350"/>
        </w:trPr>
        <w:tc>
          <w:tcPr>
            <w:tcW w:w="3510" w:type="dxa"/>
            <w:vAlign w:val="center"/>
          </w:tcPr>
          <w:p w:rsidR="00E35079" w:rsidRPr="00324937" w:rsidRDefault="00E35079" w:rsidP="00E10BB8">
            <w:pPr>
              <w:spacing w:before="60" w:after="60" w:line="240" w:lineRule="auto"/>
              <w:rPr>
                <w:lang w:val="hr-BA"/>
              </w:rPr>
            </w:pPr>
            <w:r>
              <w:rPr>
                <w:lang w:val="hr-BA"/>
              </w:rPr>
              <w:t xml:space="preserve">Iz ekternih </w:t>
            </w:r>
            <w:r w:rsidRPr="00324937">
              <w:rPr>
                <w:lang w:val="hr-BA"/>
              </w:rPr>
              <w:t>izvor</w:t>
            </w:r>
            <w:r>
              <w:rPr>
                <w:lang w:val="hr-BA"/>
              </w:rPr>
              <w:t>a</w:t>
            </w:r>
            <w:r w:rsidRPr="00324937">
              <w:rPr>
                <w:lang w:val="hr-BA"/>
              </w:rPr>
              <w:t xml:space="preserve"> (</w:t>
            </w:r>
            <w:r w:rsidRPr="00324937">
              <w:rPr>
                <w:i/>
                <w:lang w:val="hr-BA"/>
              </w:rPr>
              <w:t>IPA, donatori i ostalo</w:t>
            </w:r>
            <w:r w:rsidRPr="00324937">
              <w:rPr>
                <w:lang w:val="hr-BA"/>
              </w:rPr>
              <w:t>) (u KM)</w:t>
            </w:r>
          </w:p>
        </w:tc>
        <w:tc>
          <w:tcPr>
            <w:tcW w:w="1800" w:type="dxa"/>
            <w:vAlign w:val="center"/>
          </w:tcPr>
          <w:p w:rsidR="00E35079" w:rsidRPr="00E35079" w:rsidRDefault="00E35079" w:rsidP="006517E0">
            <w:pPr>
              <w:spacing w:before="60" w:after="60" w:line="240" w:lineRule="auto"/>
              <w:jc w:val="right"/>
              <w:rPr>
                <w:color w:val="FF0000"/>
                <w:lang w:val="hr-BA"/>
              </w:rPr>
            </w:pPr>
            <w:r w:rsidRPr="00E35079">
              <w:rPr>
                <w:rFonts w:cs="Calibri"/>
                <w:color w:val="FF0000"/>
              </w:rPr>
              <w:t>1.570.800</w:t>
            </w:r>
          </w:p>
        </w:tc>
        <w:tc>
          <w:tcPr>
            <w:tcW w:w="1710" w:type="dxa"/>
            <w:vAlign w:val="center"/>
          </w:tcPr>
          <w:p w:rsidR="00E35079" w:rsidRPr="00E35079" w:rsidRDefault="00E35079" w:rsidP="006517E0">
            <w:pPr>
              <w:spacing w:before="60" w:after="60" w:line="240" w:lineRule="auto"/>
              <w:jc w:val="right"/>
              <w:rPr>
                <w:color w:val="FF0000"/>
                <w:lang w:val="hr-BA"/>
              </w:rPr>
            </w:pPr>
            <w:r w:rsidRPr="00E35079">
              <w:rPr>
                <w:rFonts w:cs="Calibri"/>
                <w:color w:val="FF0000"/>
              </w:rPr>
              <w:t>1.570.800</w:t>
            </w:r>
          </w:p>
        </w:tc>
        <w:tc>
          <w:tcPr>
            <w:tcW w:w="1620" w:type="dxa"/>
            <w:vAlign w:val="center"/>
          </w:tcPr>
          <w:p w:rsidR="00E35079" w:rsidRPr="00E35079" w:rsidRDefault="00E35079" w:rsidP="006517E0">
            <w:pPr>
              <w:spacing w:before="60" w:after="60" w:line="240" w:lineRule="auto"/>
              <w:jc w:val="right"/>
              <w:rPr>
                <w:color w:val="FF0000"/>
                <w:lang w:val="hr-BA"/>
              </w:rPr>
            </w:pPr>
            <w:r w:rsidRPr="00E35079">
              <w:rPr>
                <w:rFonts w:cs="Calibri"/>
                <w:color w:val="FF0000"/>
              </w:rPr>
              <w:t>1.570.800</w:t>
            </w:r>
          </w:p>
        </w:tc>
        <w:tc>
          <w:tcPr>
            <w:tcW w:w="1440" w:type="dxa"/>
            <w:vAlign w:val="center"/>
          </w:tcPr>
          <w:p w:rsidR="00E35079" w:rsidRPr="00E35079" w:rsidRDefault="00E35079" w:rsidP="006517E0">
            <w:pPr>
              <w:spacing w:before="60" w:after="60" w:line="240" w:lineRule="auto"/>
              <w:jc w:val="right"/>
              <w:rPr>
                <w:color w:val="FF0000"/>
                <w:lang w:val="hr-BA"/>
              </w:rPr>
            </w:pPr>
            <w:r w:rsidRPr="00E35079">
              <w:rPr>
                <w:rFonts w:cs="Calibri"/>
                <w:color w:val="FF0000"/>
              </w:rPr>
              <w:t>1.559.250</w:t>
            </w:r>
          </w:p>
        </w:tc>
        <w:tc>
          <w:tcPr>
            <w:tcW w:w="1440" w:type="dxa"/>
            <w:vAlign w:val="center"/>
          </w:tcPr>
          <w:p w:rsidR="00E35079" w:rsidRPr="00E35079" w:rsidRDefault="00E35079" w:rsidP="006517E0">
            <w:pPr>
              <w:spacing w:before="60" w:after="60" w:line="240" w:lineRule="auto"/>
              <w:jc w:val="right"/>
              <w:rPr>
                <w:color w:val="FF0000"/>
                <w:lang w:val="hr-BA"/>
              </w:rPr>
            </w:pPr>
            <w:r w:rsidRPr="00E35079">
              <w:rPr>
                <w:rFonts w:cs="Calibri"/>
                <w:color w:val="FF0000"/>
              </w:rPr>
              <w:t>1.559.240</w:t>
            </w:r>
          </w:p>
        </w:tc>
        <w:tc>
          <w:tcPr>
            <w:tcW w:w="1530" w:type="dxa"/>
            <w:vAlign w:val="center"/>
          </w:tcPr>
          <w:p w:rsidR="00E35079" w:rsidRPr="00E35079" w:rsidRDefault="00E35079" w:rsidP="006517E0">
            <w:pPr>
              <w:spacing w:before="60" w:after="60" w:line="240" w:lineRule="auto"/>
              <w:jc w:val="right"/>
              <w:rPr>
                <w:color w:val="FF0000"/>
                <w:lang w:val="hr-BA"/>
              </w:rPr>
            </w:pPr>
            <w:r w:rsidRPr="00E35079">
              <w:rPr>
                <w:rFonts w:cs="Calibri"/>
                <w:color w:val="FF0000"/>
              </w:rPr>
              <w:t>7.830.890</w:t>
            </w:r>
          </w:p>
        </w:tc>
      </w:tr>
      <w:tr w:rsidR="00E35079" w:rsidRPr="00CC6D7C" w:rsidTr="001B2268">
        <w:trPr>
          <w:trHeight w:val="350"/>
        </w:trPr>
        <w:tc>
          <w:tcPr>
            <w:tcW w:w="3510" w:type="dxa"/>
            <w:vAlign w:val="center"/>
          </w:tcPr>
          <w:p w:rsidR="00E35079" w:rsidRPr="00CC6D7C" w:rsidRDefault="00E35079" w:rsidP="00E10BB8">
            <w:pPr>
              <w:spacing w:after="0" w:line="240" w:lineRule="auto"/>
              <w:rPr>
                <w:b/>
                <w:lang w:val="hr-BA"/>
              </w:rPr>
            </w:pPr>
            <w:r w:rsidRPr="00CC6D7C">
              <w:rPr>
                <w:b/>
                <w:lang w:val="hr-BA"/>
              </w:rPr>
              <w:t>UKUPNO (u KM)</w:t>
            </w:r>
          </w:p>
        </w:tc>
        <w:tc>
          <w:tcPr>
            <w:tcW w:w="1800" w:type="dxa"/>
            <w:vAlign w:val="center"/>
          </w:tcPr>
          <w:p w:rsidR="00E35079" w:rsidRPr="00CC6D7C" w:rsidRDefault="00E35079" w:rsidP="006517E0">
            <w:pPr>
              <w:spacing w:before="60" w:after="60" w:line="240" w:lineRule="auto"/>
              <w:jc w:val="right"/>
              <w:rPr>
                <w:lang w:val="hr-BA"/>
              </w:rPr>
            </w:pPr>
            <w:r>
              <w:rPr>
                <w:rFonts w:cs="Calibri"/>
                <w:color w:val="000000"/>
              </w:rPr>
              <w:t>3.880.800</w:t>
            </w:r>
          </w:p>
        </w:tc>
        <w:tc>
          <w:tcPr>
            <w:tcW w:w="1710" w:type="dxa"/>
            <w:vAlign w:val="center"/>
          </w:tcPr>
          <w:p w:rsidR="00E35079" w:rsidRPr="00CC6D7C" w:rsidRDefault="00E35079" w:rsidP="006517E0">
            <w:pPr>
              <w:spacing w:before="60" w:after="60" w:line="240" w:lineRule="auto"/>
              <w:jc w:val="right"/>
              <w:rPr>
                <w:lang w:val="hr-BA"/>
              </w:rPr>
            </w:pPr>
            <w:r>
              <w:rPr>
                <w:rFonts w:cs="Calibri"/>
                <w:color w:val="000000"/>
              </w:rPr>
              <w:t>3.930.800</w:t>
            </w:r>
          </w:p>
        </w:tc>
        <w:tc>
          <w:tcPr>
            <w:tcW w:w="1620" w:type="dxa"/>
            <w:vAlign w:val="center"/>
          </w:tcPr>
          <w:p w:rsidR="00E35079" w:rsidRPr="00CC6D7C" w:rsidRDefault="00E35079" w:rsidP="006517E0">
            <w:pPr>
              <w:spacing w:before="60" w:after="60" w:line="240" w:lineRule="auto"/>
              <w:jc w:val="right"/>
              <w:rPr>
                <w:lang w:val="hr-BA"/>
              </w:rPr>
            </w:pPr>
            <w:r>
              <w:rPr>
                <w:rFonts w:cs="Calibri"/>
                <w:color w:val="000000"/>
              </w:rPr>
              <w:t>3.930.800</w:t>
            </w:r>
          </w:p>
        </w:tc>
        <w:tc>
          <w:tcPr>
            <w:tcW w:w="1440" w:type="dxa"/>
            <w:vAlign w:val="center"/>
          </w:tcPr>
          <w:p w:rsidR="00E35079" w:rsidRPr="00CC6D7C" w:rsidRDefault="00E35079" w:rsidP="006517E0">
            <w:pPr>
              <w:spacing w:before="60" w:after="60" w:line="240" w:lineRule="auto"/>
              <w:jc w:val="right"/>
              <w:rPr>
                <w:lang w:val="hr-BA"/>
              </w:rPr>
            </w:pPr>
            <w:r>
              <w:rPr>
                <w:rFonts w:cs="Calibri"/>
                <w:color w:val="000000"/>
              </w:rPr>
              <w:t>4.019.250</w:t>
            </w:r>
          </w:p>
        </w:tc>
        <w:tc>
          <w:tcPr>
            <w:tcW w:w="1440" w:type="dxa"/>
            <w:vAlign w:val="center"/>
          </w:tcPr>
          <w:p w:rsidR="00E35079" w:rsidRPr="00CC6D7C" w:rsidRDefault="00E35079" w:rsidP="006517E0">
            <w:pPr>
              <w:spacing w:before="60" w:after="60" w:line="240" w:lineRule="auto"/>
              <w:jc w:val="right"/>
              <w:rPr>
                <w:lang w:val="hr-BA"/>
              </w:rPr>
            </w:pPr>
            <w:r>
              <w:rPr>
                <w:rFonts w:cs="Calibri"/>
                <w:color w:val="000000"/>
              </w:rPr>
              <w:t>4.019.240</w:t>
            </w:r>
          </w:p>
        </w:tc>
        <w:tc>
          <w:tcPr>
            <w:tcW w:w="1530" w:type="dxa"/>
            <w:vAlign w:val="center"/>
          </w:tcPr>
          <w:p w:rsidR="00E35079" w:rsidRPr="00CC6D7C" w:rsidRDefault="00E35079" w:rsidP="006517E0">
            <w:pPr>
              <w:spacing w:before="60" w:after="60" w:line="240" w:lineRule="auto"/>
              <w:jc w:val="right"/>
              <w:rPr>
                <w:lang w:val="hr-BA"/>
              </w:rPr>
            </w:pPr>
            <w:r>
              <w:rPr>
                <w:rFonts w:cs="Calibri"/>
                <w:color w:val="000000"/>
              </w:rPr>
              <w:t>19.780.890</w:t>
            </w:r>
          </w:p>
        </w:tc>
      </w:tr>
    </w:tbl>
    <w:p w:rsidR="007009A3" w:rsidRPr="00CC6D7C" w:rsidRDefault="007009A3" w:rsidP="005E7FD2">
      <w:pPr>
        <w:spacing w:before="200" w:after="60" w:line="240" w:lineRule="auto"/>
        <w:ind w:left="5040" w:hanging="5040"/>
        <w:rPr>
          <w:b/>
          <w:sz w:val="24"/>
          <w:lang w:val="hr-BA"/>
        </w:rPr>
      </w:pPr>
      <w:r w:rsidRPr="00CC6D7C">
        <w:rPr>
          <w:b/>
          <w:sz w:val="24"/>
          <w:lang w:val="hr-BA"/>
        </w:rPr>
        <w:t>Pr</w:t>
      </w:r>
      <w:r w:rsidR="000A7F71" w:rsidRPr="00CC6D7C">
        <w:rPr>
          <w:b/>
          <w:sz w:val="24"/>
          <w:lang w:val="hr-BA"/>
        </w:rPr>
        <w:t>ijedlog o</w:t>
      </w:r>
      <w:r w:rsidRPr="00CC6D7C">
        <w:rPr>
          <w:b/>
          <w:sz w:val="24"/>
          <w:lang w:val="hr-BA"/>
        </w:rPr>
        <w:t xml:space="preserve">kvirne </w:t>
      </w:r>
      <w:r w:rsidR="000A7F71" w:rsidRPr="00CC6D7C">
        <w:rPr>
          <w:b/>
          <w:sz w:val="24"/>
          <w:lang w:val="hr-BA"/>
        </w:rPr>
        <w:t xml:space="preserve">raspodjele </w:t>
      </w:r>
      <w:r w:rsidRPr="00CC6D7C">
        <w:rPr>
          <w:b/>
          <w:sz w:val="24"/>
          <w:lang w:val="hr-BA"/>
        </w:rPr>
        <w:t xml:space="preserve">finansiranja po sektorima </w:t>
      </w:r>
      <w:r w:rsidRPr="00CC6D7C">
        <w:rPr>
          <w:sz w:val="24"/>
          <w:lang w:val="hr-BA"/>
        </w:rPr>
        <w:t xml:space="preserve">razvoja </w:t>
      </w:r>
      <w:r w:rsidR="005E7FD2" w:rsidRPr="00CC6D7C">
        <w:rPr>
          <w:sz w:val="24"/>
          <w:lang w:val="hr-BA"/>
        </w:rPr>
        <w:t>(stvarna raspodjela će utvrdit</w:t>
      </w:r>
      <w:r w:rsidR="000A7F71" w:rsidRPr="00CC6D7C">
        <w:rPr>
          <w:sz w:val="24"/>
          <w:lang w:val="hr-BA"/>
        </w:rPr>
        <w:t>i</w:t>
      </w:r>
      <w:r w:rsidR="005E7FD2" w:rsidRPr="00CC6D7C">
        <w:rPr>
          <w:sz w:val="24"/>
          <w:lang w:val="hr-BA"/>
        </w:rPr>
        <w:t xml:space="preserve"> tokom revidiranja strategije)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20"/>
        <w:gridCol w:w="3167"/>
        <w:gridCol w:w="3166"/>
        <w:gridCol w:w="3089"/>
      </w:tblGrid>
      <w:tr w:rsidR="00CC6D7C" w:rsidRPr="00CC6D7C" w:rsidTr="00971EE8">
        <w:tc>
          <w:tcPr>
            <w:tcW w:w="3481" w:type="dxa"/>
          </w:tcPr>
          <w:p w:rsidR="00971EE8" w:rsidRPr="00CC6D7C" w:rsidRDefault="00971EE8" w:rsidP="007009A3">
            <w:pPr>
              <w:spacing w:before="60" w:after="60" w:line="240" w:lineRule="auto"/>
              <w:jc w:val="center"/>
              <w:rPr>
                <w:b/>
                <w:sz w:val="24"/>
                <w:lang w:val="hr-BA"/>
              </w:rPr>
            </w:pPr>
            <w:r w:rsidRPr="00CC6D7C">
              <w:rPr>
                <w:b/>
                <w:sz w:val="24"/>
                <w:lang w:val="hr-BA"/>
              </w:rPr>
              <w:t>Ekonomski sektor</w:t>
            </w:r>
          </w:p>
        </w:tc>
        <w:tc>
          <w:tcPr>
            <w:tcW w:w="3224" w:type="dxa"/>
          </w:tcPr>
          <w:p w:rsidR="00971EE8" w:rsidRPr="00CC6D7C" w:rsidRDefault="00971EE8" w:rsidP="000A7F71">
            <w:pPr>
              <w:spacing w:before="60" w:after="60" w:line="240" w:lineRule="auto"/>
              <w:jc w:val="center"/>
              <w:rPr>
                <w:b/>
                <w:sz w:val="24"/>
                <w:lang w:val="hr-BA"/>
              </w:rPr>
            </w:pPr>
            <w:r w:rsidRPr="00CC6D7C">
              <w:rPr>
                <w:b/>
                <w:sz w:val="24"/>
                <w:lang w:val="hr-BA"/>
              </w:rPr>
              <w:t>Društv</w:t>
            </w:r>
            <w:r w:rsidR="000A7F71" w:rsidRPr="00CC6D7C">
              <w:rPr>
                <w:b/>
                <w:sz w:val="24"/>
                <w:lang w:val="hr-BA"/>
              </w:rPr>
              <w:t>e</w:t>
            </w:r>
            <w:r w:rsidRPr="00CC6D7C">
              <w:rPr>
                <w:b/>
                <w:sz w:val="24"/>
                <w:lang w:val="hr-BA"/>
              </w:rPr>
              <w:t>ni sektor</w:t>
            </w:r>
          </w:p>
        </w:tc>
        <w:tc>
          <w:tcPr>
            <w:tcW w:w="3223" w:type="dxa"/>
          </w:tcPr>
          <w:p w:rsidR="00971EE8" w:rsidRPr="00CC6D7C" w:rsidRDefault="00971EE8" w:rsidP="007009A3">
            <w:pPr>
              <w:spacing w:before="60" w:after="60" w:line="240" w:lineRule="auto"/>
              <w:jc w:val="center"/>
              <w:rPr>
                <w:b/>
                <w:sz w:val="24"/>
                <w:lang w:val="hr-BA"/>
              </w:rPr>
            </w:pPr>
            <w:r w:rsidRPr="00CC6D7C">
              <w:rPr>
                <w:b/>
                <w:sz w:val="24"/>
                <w:lang w:val="hr-BA"/>
              </w:rPr>
              <w:t>Sektor zaštite životne sredine</w:t>
            </w:r>
          </w:p>
        </w:tc>
        <w:tc>
          <w:tcPr>
            <w:tcW w:w="3140" w:type="dxa"/>
          </w:tcPr>
          <w:p w:rsidR="00971EE8" w:rsidRPr="00CC6D7C" w:rsidRDefault="00971EE8" w:rsidP="007009A3">
            <w:pPr>
              <w:spacing w:before="60" w:after="60" w:line="240" w:lineRule="auto"/>
              <w:jc w:val="center"/>
              <w:rPr>
                <w:b/>
                <w:sz w:val="24"/>
                <w:lang w:val="hr-BA"/>
              </w:rPr>
            </w:pPr>
            <w:r w:rsidRPr="00CC6D7C">
              <w:rPr>
                <w:b/>
                <w:sz w:val="24"/>
                <w:lang w:val="hr-BA"/>
              </w:rPr>
              <w:t>Ukupno</w:t>
            </w:r>
          </w:p>
        </w:tc>
      </w:tr>
      <w:tr w:rsidR="00CC6D7C" w:rsidRPr="00CC6D7C" w:rsidTr="00971EE8">
        <w:tc>
          <w:tcPr>
            <w:tcW w:w="3481" w:type="dxa"/>
          </w:tcPr>
          <w:p w:rsidR="00971EE8" w:rsidRPr="00CC6D7C" w:rsidRDefault="006517E0" w:rsidP="00324937">
            <w:pPr>
              <w:spacing w:before="60" w:after="60" w:line="240" w:lineRule="auto"/>
              <w:jc w:val="center"/>
              <w:rPr>
                <w:sz w:val="24"/>
                <w:lang w:val="hr-BA"/>
              </w:rPr>
            </w:pPr>
            <w:r w:rsidRPr="00CC6D7C">
              <w:rPr>
                <w:sz w:val="24"/>
                <w:lang w:val="hr-BA"/>
              </w:rPr>
              <w:t xml:space="preserve">7.983.000 </w:t>
            </w:r>
            <w:r w:rsidR="00971EE8" w:rsidRPr="00CC6D7C">
              <w:rPr>
                <w:sz w:val="24"/>
                <w:lang w:val="hr-BA"/>
              </w:rPr>
              <w:t>KM</w:t>
            </w:r>
          </w:p>
        </w:tc>
        <w:tc>
          <w:tcPr>
            <w:tcW w:w="3224" w:type="dxa"/>
          </w:tcPr>
          <w:p w:rsidR="00971EE8" w:rsidRPr="00CC6D7C" w:rsidRDefault="006517E0" w:rsidP="00324937">
            <w:pPr>
              <w:spacing w:before="60" w:after="60" w:line="240" w:lineRule="auto"/>
              <w:jc w:val="center"/>
              <w:rPr>
                <w:sz w:val="24"/>
                <w:lang w:val="hr-BA"/>
              </w:rPr>
            </w:pPr>
            <w:r w:rsidRPr="00CC6D7C">
              <w:rPr>
                <w:sz w:val="24"/>
                <w:lang w:val="hr-BA"/>
              </w:rPr>
              <w:t>5.072.890</w:t>
            </w:r>
            <w:r w:rsidR="00971EE8" w:rsidRPr="00CC6D7C">
              <w:rPr>
                <w:sz w:val="24"/>
                <w:lang w:val="hr-BA"/>
              </w:rPr>
              <w:t xml:space="preserve"> KM</w:t>
            </w:r>
          </w:p>
        </w:tc>
        <w:tc>
          <w:tcPr>
            <w:tcW w:w="3223" w:type="dxa"/>
          </w:tcPr>
          <w:p w:rsidR="00971EE8" w:rsidRPr="00CC6D7C" w:rsidRDefault="00CC6D7C" w:rsidP="00324937">
            <w:pPr>
              <w:spacing w:before="60" w:after="60" w:line="240" w:lineRule="auto"/>
              <w:jc w:val="center"/>
              <w:rPr>
                <w:sz w:val="24"/>
                <w:lang w:val="hr-BA"/>
              </w:rPr>
            </w:pPr>
            <w:r w:rsidRPr="00CC6D7C">
              <w:rPr>
                <w:sz w:val="24"/>
                <w:lang w:val="hr-BA"/>
              </w:rPr>
              <w:t xml:space="preserve">6.725.000 </w:t>
            </w:r>
            <w:r w:rsidR="00971EE8" w:rsidRPr="00CC6D7C">
              <w:rPr>
                <w:sz w:val="24"/>
                <w:lang w:val="hr-BA"/>
              </w:rPr>
              <w:t>KM</w:t>
            </w:r>
          </w:p>
        </w:tc>
        <w:tc>
          <w:tcPr>
            <w:tcW w:w="3140" w:type="dxa"/>
          </w:tcPr>
          <w:p w:rsidR="00971EE8" w:rsidRPr="00CC6D7C" w:rsidRDefault="00CC6D7C" w:rsidP="00324937">
            <w:pPr>
              <w:spacing w:before="60" w:after="60" w:line="240" w:lineRule="auto"/>
              <w:jc w:val="center"/>
              <w:rPr>
                <w:sz w:val="24"/>
                <w:lang w:val="hr-BA"/>
              </w:rPr>
            </w:pPr>
            <w:r w:rsidRPr="00CC6D7C">
              <w:rPr>
                <w:sz w:val="24"/>
                <w:lang w:val="hr-BA"/>
              </w:rPr>
              <w:t>19.780.890</w:t>
            </w:r>
            <w:r w:rsidR="00971EE8" w:rsidRPr="00CC6D7C">
              <w:rPr>
                <w:sz w:val="24"/>
                <w:lang w:val="hr-BA"/>
              </w:rPr>
              <w:t xml:space="preserve"> KM</w:t>
            </w:r>
          </w:p>
        </w:tc>
      </w:tr>
    </w:tbl>
    <w:p w:rsidR="001D37E9" w:rsidRDefault="004C1872" w:rsidP="005E7FD2">
      <w:pPr>
        <w:spacing w:before="200" w:after="60" w:line="240" w:lineRule="auto"/>
        <w:ind w:left="5040" w:hanging="5040"/>
        <w:rPr>
          <w:b/>
          <w:sz w:val="24"/>
          <w:lang w:val="hr-BA"/>
        </w:rPr>
      </w:pPr>
      <w:r>
        <w:rPr>
          <w:b/>
          <w:sz w:val="24"/>
          <w:lang w:val="hr-BA"/>
        </w:rPr>
        <w:t>Napomene</w:t>
      </w:r>
      <w:r w:rsidR="004909EF">
        <w:rPr>
          <w:b/>
          <w:sz w:val="24"/>
          <w:lang w:val="hr-BA"/>
        </w:rPr>
        <w:t xml:space="preserve"> </w:t>
      </w:r>
      <w:r w:rsidR="00324937">
        <w:rPr>
          <w:b/>
          <w:sz w:val="24"/>
          <w:lang w:val="hr-BA"/>
        </w:rPr>
        <w:t>/obrazloženja</w:t>
      </w:r>
      <w:r w:rsidR="004909EF">
        <w:rPr>
          <w:b/>
          <w:sz w:val="24"/>
          <w:lang w:val="hr-BA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5"/>
        <w:gridCol w:w="9387"/>
      </w:tblGrid>
      <w:tr w:rsidR="007035DB" w:rsidRPr="0084774B" w:rsidTr="00165EFC">
        <w:trPr>
          <w:trHeight w:val="431"/>
        </w:trPr>
        <w:tc>
          <w:tcPr>
            <w:tcW w:w="3510" w:type="dxa"/>
            <w:vAlign w:val="center"/>
          </w:tcPr>
          <w:p w:rsidR="007035DB" w:rsidRPr="00365B5C" w:rsidRDefault="007035DB" w:rsidP="00C9760E">
            <w:pPr>
              <w:spacing w:before="60" w:after="60" w:line="240" w:lineRule="auto"/>
              <w:rPr>
                <w:lang w:val="hr-BA"/>
              </w:rPr>
            </w:pPr>
            <w:r w:rsidRPr="00365B5C">
              <w:rPr>
                <w:lang w:val="hr-BA"/>
              </w:rPr>
              <w:t xml:space="preserve">Iz </w:t>
            </w:r>
            <w:r w:rsidR="008A40C6" w:rsidRPr="00365B5C">
              <w:rPr>
                <w:lang w:val="hr-BA"/>
              </w:rPr>
              <w:t>B</w:t>
            </w:r>
            <w:r w:rsidRPr="00365B5C">
              <w:rPr>
                <w:lang w:val="hr-BA"/>
              </w:rPr>
              <w:t>udžeta</w:t>
            </w:r>
            <w:r w:rsidR="00B31C12" w:rsidRPr="00365B5C">
              <w:rPr>
                <w:lang w:val="hr-BA"/>
              </w:rPr>
              <w:t xml:space="preserve"> </w:t>
            </w:r>
            <w:r w:rsidR="00C9760E" w:rsidRPr="00365B5C">
              <w:rPr>
                <w:lang w:val="hr-BA"/>
              </w:rPr>
              <w:t xml:space="preserve">JLS </w:t>
            </w:r>
            <w:r w:rsidR="00D52864">
              <w:rPr>
                <w:lang w:val="hr-BA"/>
              </w:rPr>
              <w:t>Jablanica</w:t>
            </w:r>
          </w:p>
        </w:tc>
        <w:tc>
          <w:tcPr>
            <w:tcW w:w="9558" w:type="dxa"/>
          </w:tcPr>
          <w:p w:rsidR="0068249C" w:rsidRPr="00365B5C" w:rsidRDefault="00F11204" w:rsidP="003606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hr-BA"/>
              </w:rPr>
            </w:pPr>
            <w:r w:rsidRPr="00365B5C">
              <w:rPr>
                <w:lang w:val="hr-BA"/>
              </w:rPr>
              <w:t xml:space="preserve">Na ime koncesione naknade u periodu od 2018-2023 planira se ostvariti prihod od </w:t>
            </w:r>
            <w:r w:rsidR="000C1F98">
              <w:rPr>
                <w:lang w:val="hr-BA"/>
              </w:rPr>
              <w:t xml:space="preserve"> </w:t>
            </w:r>
            <w:r w:rsidRPr="00365B5C">
              <w:rPr>
                <w:lang w:val="hr-BA"/>
              </w:rPr>
              <w:t>91.410,00 KM( 15.235,00 KM godišnje)</w:t>
            </w:r>
          </w:p>
          <w:p w:rsidR="00165EFC" w:rsidRPr="00365B5C" w:rsidRDefault="00F11204" w:rsidP="003606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hr-BA"/>
              </w:rPr>
            </w:pPr>
            <w:r w:rsidRPr="00365B5C">
              <w:rPr>
                <w:lang w:val="hr-BA"/>
              </w:rPr>
              <w:t>Na ime legalizacije se u periodu 2019-2021 planira ostvariti prihod od 515.000,00</w:t>
            </w:r>
          </w:p>
          <w:p w:rsidR="004C1872" w:rsidRPr="00365B5C" w:rsidRDefault="00F11204" w:rsidP="003606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hr-BA"/>
              </w:rPr>
            </w:pPr>
            <w:r w:rsidRPr="00365B5C">
              <w:rPr>
                <w:lang w:val="hr-BA"/>
              </w:rPr>
              <w:t xml:space="preserve">U periodu 2019-2023 planira se ostvariti prihod on </w:t>
            </w:r>
            <w:r w:rsidR="00365B5C" w:rsidRPr="00365B5C">
              <w:rPr>
                <w:lang w:val="hr-BA"/>
              </w:rPr>
              <w:t>11.</w:t>
            </w:r>
            <w:r w:rsidRPr="00365B5C">
              <w:rPr>
                <w:lang w:val="hr-BA"/>
              </w:rPr>
              <w:t>00</w:t>
            </w:r>
            <w:r w:rsidR="00CC6D7C">
              <w:rPr>
                <w:lang w:val="hr-BA"/>
              </w:rPr>
              <w:t>0</w:t>
            </w:r>
            <w:r w:rsidRPr="00365B5C">
              <w:rPr>
                <w:lang w:val="hr-BA"/>
              </w:rPr>
              <w:t xml:space="preserve">.000,00 KM na ime naknada od </w:t>
            </w:r>
            <w:r w:rsidR="00365B5C" w:rsidRPr="00365B5C">
              <w:rPr>
                <w:lang w:val="hr-BA"/>
              </w:rPr>
              <w:t>h</w:t>
            </w:r>
            <w:r w:rsidR="008E659D">
              <w:rPr>
                <w:lang w:val="hr-BA"/>
              </w:rPr>
              <w:t>idroakumulacija (2.5</w:t>
            </w:r>
            <w:r w:rsidRPr="00365B5C">
              <w:rPr>
                <w:lang w:val="hr-BA"/>
              </w:rPr>
              <w:t>00.000 godišnje bi se tr</w:t>
            </w:r>
            <w:r w:rsidR="00D52864">
              <w:rPr>
                <w:lang w:val="hr-BA"/>
              </w:rPr>
              <w:t>o</w:t>
            </w:r>
            <w:r w:rsidRPr="00365B5C">
              <w:rPr>
                <w:lang w:val="hr-BA"/>
              </w:rPr>
              <w:t>šilo za realizaciju strateških projekata</w:t>
            </w:r>
            <w:r w:rsidR="00D52864">
              <w:rPr>
                <w:lang w:val="hr-BA"/>
              </w:rPr>
              <w:t>)</w:t>
            </w:r>
            <w:r w:rsidRPr="00365B5C">
              <w:rPr>
                <w:lang w:val="hr-BA"/>
              </w:rPr>
              <w:t>.</w:t>
            </w:r>
          </w:p>
          <w:p w:rsidR="00165EFC" w:rsidRPr="00365B5C" w:rsidRDefault="00165EFC" w:rsidP="005F3867">
            <w:pPr>
              <w:spacing w:after="0" w:line="240" w:lineRule="auto"/>
              <w:rPr>
                <w:lang w:val="hr-BA"/>
              </w:rPr>
            </w:pPr>
          </w:p>
          <w:p w:rsidR="00324937" w:rsidRPr="00365B5C" w:rsidRDefault="00324937" w:rsidP="005F3867">
            <w:pPr>
              <w:spacing w:after="0" w:line="240" w:lineRule="auto"/>
              <w:rPr>
                <w:lang w:val="hr-BA"/>
              </w:rPr>
            </w:pPr>
          </w:p>
        </w:tc>
      </w:tr>
      <w:tr w:rsidR="007035DB" w:rsidRPr="0084774B" w:rsidTr="00165EFC">
        <w:trPr>
          <w:trHeight w:val="539"/>
        </w:trPr>
        <w:tc>
          <w:tcPr>
            <w:tcW w:w="3510" w:type="dxa"/>
            <w:vAlign w:val="center"/>
          </w:tcPr>
          <w:p w:rsidR="007035DB" w:rsidRPr="00324937" w:rsidRDefault="005F3867" w:rsidP="003C4538">
            <w:pPr>
              <w:spacing w:before="60" w:after="60" w:line="240" w:lineRule="auto"/>
              <w:rPr>
                <w:lang w:val="hr-BA"/>
              </w:rPr>
            </w:pPr>
            <w:r w:rsidRPr="00324937">
              <w:rPr>
                <w:lang w:val="hr-BA"/>
              </w:rPr>
              <w:t>Eksterni izvori (</w:t>
            </w:r>
            <w:r w:rsidRPr="00324937">
              <w:rPr>
                <w:i/>
                <w:lang w:val="hr-BA"/>
              </w:rPr>
              <w:t>krediti, entiteti, kantoni, država, javna preduzeća i privatni izvori</w:t>
            </w:r>
            <w:r w:rsidR="004909EF">
              <w:rPr>
                <w:lang w:val="hr-BA"/>
              </w:rPr>
              <w:t>, sl.)</w:t>
            </w:r>
          </w:p>
        </w:tc>
        <w:tc>
          <w:tcPr>
            <w:tcW w:w="9558" w:type="dxa"/>
          </w:tcPr>
          <w:p w:rsidR="000A12F0" w:rsidRDefault="000A12F0" w:rsidP="008A40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hr-BA"/>
              </w:rPr>
            </w:pPr>
            <w:r w:rsidRPr="000A12F0">
              <w:rPr>
                <w:lang w:val="hr-BA"/>
              </w:rPr>
              <w:t>HNK godišnje rasporedi općinama sredstva namjenjena za projekte vodoprivrede (vodovod i kanalizacija)</w:t>
            </w:r>
            <w:r w:rsidR="008E659D">
              <w:rPr>
                <w:lang w:val="hr-BA"/>
              </w:rPr>
              <w:t xml:space="preserve"> u visini do 200.000 KM</w:t>
            </w:r>
            <w:r w:rsidR="00D52864">
              <w:rPr>
                <w:lang w:val="hr-BA"/>
              </w:rPr>
              <w:t>.</w:t>
            </w:r>
            <w:r w:rsidRPr="000A12F0">
              <w:rPr>
                <w:lang w:val="hr-BA"/>
              </w:rPr>
              <w:t xml:space="preserve"> </w:t>
            </w:r>
            <w:r w:rsidR="008E659D">
              <w:rPr>
                <w:lang w:val="hr-BA"/>
              </w:rPr>
              <w:t>Dio sredstava ovih izvora se i odnosi na kreditna sredtva koja je općina dobila u iznosu od 2.200.000 KM o biće utrošena za razvoj poslovne zone, komunalne i društvene infrastrukture.</w:t>
            </w:r>
          </w:p>
          <w:p w:rsidR="00324937" w:rsidRPr="00324937" w:rsidRDefault="00324937" w:rsidP="001F65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FF0000"/>
                <w:lang w:val="hr-BA"/>
              </w:rPr>
            </w:pPr>
          </w:p>
        </w:tc>
      </w:tr>
      <w:tr w:rsidR="003C4538" w:rsidRPr="0084774B" w:rsidTr="00165EFC">
        <w:trPr>
          <w:trHeight w:val="539"/>
        </w:trPr>
        <w:tc>
          <w:tcPr>
            <w:tcW w:w="3510" w:type="dxa"/>
            <w:vAlign w:val="center"/>
          </w:tcPr>
          <w:p w:rsidR="003C4538" w:rsidRPr="00324937" w:rsidRDefault="003C4538" w:rsidP="005F3867">
            <w:pPr>
              <w:spacing w:before="60" w:after="60" w:line="240" w:lineRule="auto"/>
              <w:rPr>
                <w:lang w:val="hr-BA"/>
              </w:rPr>
            </w:pPr>
            <w:r>
              <w:rPr>
                <w:lang w:val="hr-BA"/>
              </w:rPr>
              <w:t xml:space="preserve">Iz ekternih </w:t>
            </w:r>
            <w:r w:rsidRPr="00324937">
              <w:rPr>
                <w:lang w:val="hr-BA"/>
              </w:rPr>
              <w:t>izvor</w:t>
            </w:r>
            <w:r>
              <w:rPr>
                <w:lang w:val="hr-BA"/>
              </w:rPr>
              <w:t>a</w:t>
            </w:r>
            <w:r w:rsidRPr="00324937">
              <w:rPr>
                <w:lang w:val="hr-BA"/>
              </w:rPr>
              <w:t xml:space="preserve"> (</w:t>
            </w:r>
            <w:r w:rsidRPr="00324937">
              <w:rPr>
                <w:i/>
                <w:lang w:val="hr-BA"/>
              </w:rPr>
              <w:t>IPA, donatori i ostalo</w:t>
            </w:r>
            <w:r w:rsidRPr="00324937">
              <w:rPr>
                <w:lang w:val="hr-BA"/>
              </w:rPr>
              <w:t>) (u KM)</w:t>
            </w:r>
          </w:p>
        </w:tc>
        <w:tc>
          <w:tcPr>
            <w:tcW w:w="9558" w:type="dxa"/>
          </w:tcPr>
          <w:p w:rsidR="0084774B" w:rsidRPr="00123AC1" w:rsidRDefault="0084774B" w:rsidP="00123AC1">
            <w:pPr>
              <w:spacing w:after="120" w:line="240" w:lineRule="auto"/>
              <w:rPr>
                <w:lang w:val="hr-BA"/>
              </w:rPr>
            </w:pPr>
            <w:r w:rsidRPr="00123AC1">
              <w:rPr>
                <w:lang w:val="hr-BA"/>
              </w:rPr>
              <w:t>U narednom petogodišnjem razvojnom periodu planira se aplicirati na sredstva sljedećih izvora finansiranja:</w:t>
            </w:r>
          </w:p>
          <w:p w:rsidR="0084774B" w:rsidRPr="00123AC1" w:rsidRDefault="0084774B" w:rsidP="00123AC1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contextualSpacing w:val="0"/>
              <w:rPr>
                <w:lang w:val="hr-BA"/>
              </w:rPr>
            </w:pPr>
            <w:r w:rsidRPr="00123AC1">
              <w:rPr>
                <w:lang w:val="hr-BA"/>
              </w:rPr>
              <w:t>Ministarstvo razvoja, poduzetništva i obrta FBIH, 150.000 + 8000</w:t>
            </w:r>
          </w:p>
          <w:p w:rsidR="0084774B" w:rsidRPr="00123AC1" w:rsidRDefault="0084774B" w:rsidP="00123AC1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contextualSpacing w:val="0"/>
              <w:rPr>
                <w:lang w:val="hr-BA"/>
              </w:rPr>
            </w:pPr>
            <w:r w:rsidRPr="00123AC1">
              <w:rPr>
                <w:lang w:val="hr-BA"/>
              </w:rPr>
              <w:t xml:space="preserve">JP EP BiH </w:t>
            </w:r>
            <w:r w:rsidR="00797D7A" w:rsidRPr="00123AC1">
              <w:rPr>
                <w:lang w:val="hr-BA"/>
              </w:rPr>
              <w:t xml:space="preserve">za unaprijeđenje komunalne infrastrukture za domaćinstva i poslovne zone – sredstva u visini od </w:t>
            </w:r>
            <w:r w:rsidRPr="00123AC1">
              <w:rPr>
                <w:lang w:val="hr-BA"/>
              </w:rPr>
              <w:t>2.</w:t>
            </w:r>
            <w:r w:rsidR="00797D7A" w:rsidRPr="00123AC1">
              <w:rPr>
                <w:lang w:val="hr-BA"/>
              </w:rPr>
              <w:t>5</w:t>
            </w:r>
            <w:r w:rsidRPr="00123AC1">
              <w:rPr>
                <w:lang w:val="hr-BA"/>
              </w:rPr>
              <w:t>00.000</w:t>
            </w:r>
            <w:r w:rsidR="00797D7A" w:rsidRPr="00123AC1">
              <w:rPr>
                <w:lang w:val="hr-BA"/>
              </w:rPr>
              <w:t xml:space="preserve"> KM</w:t>
            </w:r>
          </w:p>
          <w:p w:rsidR="0084774B" w:rsidRPr="00123AC1" w:rsidRDefault="0084774B" w:rsidP="00123AC1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contextualSpacing w:val="0"/>
              <w:rPr>
                <w:lang w:val="hr-BA"/>
              </w:rPr>
            </w:pPr>
            <w:r w:rsidRPr="00123AC1">
              <w:rPr>
                <w:lang w:val="hr-BA"/>
              </w:rPr>
              <w:t xml:space="preserve">UNDP </w:t>
            </w:r>
            <w:r w:rsidR="00123AC1">
              <w:rPr>
                <w:lang w:val="hr-BA"/>
              </w:rPr>
              <w:t xml:space="preserve">za finansiranje projekata ekonomskog razvojav – u iznosu od </w:t>
            </w:r>
            <w:r w:rsidRPr="00123AC1">
              <w:rPr>
                <w:lang w:val="hr-BA"/>
              </w:rPr>
              <w:t>200.000</w:t>
            </w:r>
            <w:r w:rsidR="00123AC1">
              <w:rPr>
                <w:lang w:val="hr-BA"/>
              </w:rPr>
              <w:t xml:space="preserve"> KM</w:t>
            </w:r>
          </w:p>
          <w:p w:rsidR="0084774B" w:rsidRPr="00123AC1" w:rsidRDefault="0084774B" w:rsidP="00123AC1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contextualSpacing w:val="0"/>
              <w:rPr>
                <w:lang w:val="hr-BA"/>
              </w:rPr>
            </w:pPr>
            <w:r w:rsidRPr="00123AC1">
              <w:rPr>
                <w:lang w:val="hr-BA"/>
              </w:rPr>
              <w:t xml:space="preserve">Ministarstvo trgovine, turizma i zaštite okoliša HNK  za finansiranje projekata u turizmu – u ukupnom iznosu od </w:t>
            </w:r>
            <w:r w:rsidR="00F16D34" w:rsidRPr="00123AC1">
              <w:rPr>
                <w:lang w:val="hr-BA"/>
              </w:rPr>
              <w:t>5</w:t>
            </w:r>
            <w:r w:rsidR="005A395B" w:rsidRPr="00123AC1">
              <w:rPr>
                <w:lang w:val="hr-BA"/>
              </w:rPr>
              <w:t>2</w:t>
            </w:r>
            <w:r w:rsidR="00F16D34" w:rsidRPr="00123AC1">
              <w:rPr>
                <w:lang w:val="hr-BA"/>
              </w:rPr>
              <w:t>0</w:t>
            </w:r>
            <w:r w:rsidRPr="00123AC1">
              <w:rPr>
                <w:lang w:val="hr-BA"/>
              </w:rPr>
              <w:t>.000 KM</w:t>
            </w:r>
          </w:p>
          <w:p w:rsidR="0084774B" w:rsidRPr="00123AC1" w:rsidRDefault="0084774B" w:rsidP="00123AC1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contextualSpacing w:val="0"/>
              <w:rPr>
                <w:lang w:val="hr-BA"/>
              </w:rPr>
            </w:pPr>
            <w:r w:rsidRPr="00123AC1">
              <w:rPr>
                <w:lang w:val="hr-BA"/>
              </w:rPr>
              <w:t xml:space="preserve">Federalno ministarstvo kulture i sporta u cilju rekonstrukcija i izgradnje kulturno-historijskih  objekata – sredstva u visini od </w:t>
            </w:r>
            <w:r w:rsidR="005A395B" w:rsidRPr="00123AC1">
              <w:rPr>
                <w:lang w:val="hr-BA"/>
              </w:rPr>
              <w:t>60</w:t>
            </w:r>
            <w:r w:rsidR="00F16D34" w:rsidRPr="00123AC1">
              <w:rPr>
                <w:lang w:val="hr-BA"/>
              </w:rPr>
              <w:t>0</w:t>
            </w:r>
            <w:r w:rsidRPr="00123AC1">
              <w:rPr>
                <w:lang w:val="hr-BA"/>
              </w:rPr>
              <w:t>.000 KM</w:t>
            </w:r>
          </w:p>
          <w:p w:rsidR="0084774B" w:rsidRPr="00123AC1" w:rsidRDefault="0084774B" w:rsidP="00123AC1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contextualSpacing w:val="0"/>
              <w:rPr>
                <w:lang w:val="hr-BA"/>
              </w:rPr>
            </w:pPr>
            <w:r w:rsidRPr="00123AC1">
              <w:rPr>
                <w:lang w:val="hr-BA"/>
              </w:rPr>
              <w:t>Ministarstvo poljoprivrede, šumarstva i vodoprivrede HNK u cilju razvoja poljoprivrede</w:t>
            </w:r>
            <w:r w:rsidR="00123AC1" w:rsidRPr="00123AC1">
              <w:rPr>
                <w:lang w:val="hr-BA"/>
              </w:rPr>
              <w:t xml:space="preserve">, </w:t>
            </w:r>
            <w:r w:rsidRPr="00123AC1">
              <w:rPr>
                <w:lang w:val="hr-BA"/>
              </w:rPr>
              <w:t xml:space="preserve">agroturizma </w:t>
            </w:r>
            <w:r w:rsidR="00123AC1" w:rsidRPr="00123AC1">
              <w:rPr>
                <w:lang w:val="hr-BA"/>
              </w:rPr>
              <w:t>i komunalne infrastrukture u naselju Zlate i slatina te za izgradnju podzemnih garaža u gradskom području općine</w:t>
            </w:r>
            <w:r w:rsidRPr="00123AC1">
              <w:rPr>
                <w:lang w:val="hr-BA"/>
              </w:rPr>
              <w:t xml:space="preserve">– u </w:t>
            </w:r>
            <w:r w:rsidR="00123AC1" w:rsidRPr="00123AC1">
              <w:rPr>
                <w:lang w:val="hr-BA"/>
              </w:rPr>
              <w:t xml:space="preserve">ukupnom iznosu   </w:t>
            </w:r>
            <w:r w:rsidRPr="00123AC1">
              <w:rPr>
                <w:lang w:val="hr-BA"/>
              </w:rPr>
              <w:t xml:space="preserve"> od </w:t>
            </w:r>
            <w:r w:rsidR="00123AC1" w:rsidRPr="00123AC1">
              <w:rPr>
                <w:lang w:val="hr-BA"/>
              </w:rPr>
              <w:t>86</w:t>
            </w:r>
            <w:r w:rsidRPr="00123AC1">
              <w:rPr>
                <w:lang w:val="hr-BA"/>
              </w:rPr>
              <w:t>0.000 KM</w:t>
            </w:r>
          </w:p>
          <w:p w:rsidR="0084774B" w:rsidRPr="00123AC1" w:rsidRDefault="00F16D34" w:rsidP="00123AC1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contextualSpacing w:val="0"/>
              <w:rPr>
                <w:lang w:val="hr-BA"/>
              </w:rPr>
            </w:pPr>
            <w:r w:rsidRPr="00123AC1">
              <w:rPr>
                <w:lang w:val="hr-BA"/>
              </w:rPr>
              <w:t>Vlada HNK za potrebe implementacije projekata društvenog razvoja– sredstva u visini 120.000 KM</w:t>
            </w:r>
          </w:p>
          <w:p w:rsidR="0084774B" w:rsidRPr="00123AC1" w:rsidRDefault="005A395B" w:rsidP="00123AC1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contextualSpacing w:val="0"/>
              <w:rPr>
                <w:lang w:val="hr-BA"/>
              </w:rPr>
            </w:pPr>
            <w:r w:rsidRPr="00123AC1">
              <w:rPr>
                <w:lang w:val="hr-BA"/>
              </w:rPr>
              <w:t xml:space="preserve">Uprava za civilnu zaštitu i vatrogastvo HNK za potrebe jačanja kapaciteta sektora zaštite i spašavanja </w:t>
            </w:r>
            <w:r w:rsidR="00797D7A" w:rsidRPr="00123AC1">
              <w:rPr>
                <w:lang w:val="hr-BA"/>
              </w:rPr>
              <w:t>i prevencije klizišta/odrona</w:t>
            </w:r>
            <w:r w:rsidRPr="00123AC1">
              <w:rPr>
                <w:lang w:val="hr-BA"/>
              </w:rPr>
              <w:t xml:space="preserve">– sredstva u visini od </w:t>
            </w:r>
            <w:r w:rsidR="00797D7A" w:rsidRPr="00123AC1">
              <w:rPr>
                <w:lang w:val="hr-BA"/>
              </w:rPr>
              <w:t>350</w:t>
            </w:r>
            <w:r w:rsidRPr="00123AC1">
              <w:rPr>
                <w:lang w:val="hr-BA"/>
              </w:rPr>
              <w:t>.000 KM</w:t>
            </w:r>
          </w:p>
          <w:p w:rsidR="005A395B" w:rsidRPr="00123AC1" w:rsidRDefault="005A395B" w:rsidP="00123AC1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contextualSpacing w:val="0"/>
              <w:rPr>
                <w:lang w:val="hr-BA"/>
              </w:rPr>
            </w:pPr>
            <w:r w:rsidRPr="00123AC1">
              <w:rPr>
                <w:lang w:val="hr-BA"/>
              </w:rPr>
              <w:t>Ministarstvo obrazovanja, nauke, kulture i sporta HNK za unaprijeđenje kvalitete obrazovanja</w:t>
            </w:r>
            <w:r w:rsidR="00797D7A" w:rsidRPr="00123AC1">
              <w:rPr>
                <w:lang w:val="hr-BA"/>
              </w:rPr>
              <w:t xml:space="preserve"> i obrazovne infrastrukture</w:t>
            </w:r>
            <w:r w:rsidRPr="00123AC1">
              <w:rPr>
                <w:lang w:val="hr-BA"/>
              </w:rPr>
              <w:t xml:space="preserve"> – iznos u visini od </w:t>
            </w:r>
            <w:r w:rsidR="00797D7A" w:rsidRPr="00123AC1">
              <w:rPr>
                <w:lang w:val="hr-BA"/>
              </w:rPr>
              <w:t>160</w:t>
            </w:r>
            <w:r w:rsidRPr="00123AC1">
              <w:rPr>
                <w:lang w:val="hr-BA"/>
              </w:rPr>
              <w:t>.000 KM</w:t>
            </w:r>
          </w:p>
          <w:p w:rsidR="00797D7A" w:rsidRPr="00123AC1" w:rsidRDefault="00797D7A" w:rsidP="00123AC1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contextualSpacing w:val="0"/>
              <w:rPr>
                <w:lang w:val="hr-BA"/>
              </w:rPr>
            </w:pPr>
            <w:r w:rsidRPr="00123AC1">
              <w:rPr>
                <w:lang w:val="hr-BA"/>
              </w:rPr>
              <w:t>Ambasada Japana za unaprijeđenje socijalne zaštite i smještaja za stara i iznemogla lica – sredtsva u visini od 150.000 KM</w:t>
            </w:r>
          </w:p>
          <w:p w:rsidR="005A395B" w:rsidRPr="00123AC1" w:rsidRDefault="00797D7A" w:rsidP="00123AC1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contextualSpacing w:val="0"/>
              <w:rPr>
                <w:lang w:val="hr-BA"/>
              </w:rPr>
            </w:pPr>
            <w:r w:rsidRPr="00123AC1">
              <w:rPr>
                <w:lang w:val="hr-BA"/>
              </w:rPr>
              <w:t>Organizacija HELP u cilju podrđke ženama lidericama – 30.000</w:t>
            </w:r>
          </w:p>
          <w:p w:rsidR="00797D7A" w:rsidRPr="00123AC1" w:rsidRDefault="00123AC1" w:rsidP="00123AC1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contextualSpacing w:val="0"/>
              <w:rPr>
                <w:lang w:val="hr-BA"/>
              </w:rPr>
            </w:pPr>
            <w:r w:rsidRPr="00123AC1">
              <w:rPr>
                <w:lang w:val="hr-BA"/>
              </w:rPr>
              <w:t>Federalnio ministarstvo okoliša i turizma u svrhu zatvaranja gradske deponije, primjene mjera EE u javnoj rasvjeti i uređenja javnih zelenih površina – u iznosu od 725.000 KM</w:t>
            </w:r>
          </w:p>
        </w:tc>
      </w:tr>
    </w:tbl>
    <w:p w:rsidR="003C4538" w:rsidRPr="00C9760E" w:rsidRDefault="006A37B6" w:rsidP="00C9760E">
      <w:pPr>
        <w:spacing w:before="60" w:after="0" w:line="240" w:lineRule="auto"/>
        <w:jc w:val="both"/>
        <w:rPr>
          <w:i/>
          <w:sz w:val="20"/>
          <w:lang w:val="bs-Latn-BA"/>
        </w:rPr>
      </w:pPr>
      <w:r>
        <w:rPr>
          <w:i/>
          <w:sz w:val="20"/>
          <w:lang w:val="bs-Latn-BA"/>
        </w:rPr>
        <w:t>Posebno je važno da se n</w:t>
      </w:r>
      <w:r w:rsidR="00C9760E" w:rsidRPr="00C9760E">
        <w:rPr>
          <w:i/>
          <w:sz w:val="20"/>
          <w:lang w:val="bs-Latn-BA"/>
        </w:rPr>
        <w:t>apomene un</w:t>
      </w:r>
      <w:r>
        <w:rPr>
          <w:i/>
          <w:sz w:val="20"/>
          <w:lang w:val="bs-Latn-BA"/>
        </w:rPr>
        <w:t xml:space="preserve">esu </w:t>
      </w:r>
      <w:r w:rsidR="00CD7E1F">
        <w:rPr>
          <w:i/>
          <w:sz w:val="20"/>
          <w:lang w:val="bs-Latn-BA"/>
        </w:rPr>
        <w:t xml:space="preserve">u slučajevima </w:t>
      </w:r>
      <w:r w:rsidR="00CD7E1F">
        <w:rPr>
          <w:i/>
          <w:sz w:val="20"/>
          <w:lang w:val="hr-BA"/>
        </w:rPr>
        <w:t>značajnijih</w:t>
      </w:r>
      <w:r w:rsidR="00C9760E" w:rsidRPr="00C9760E">
        <w:rPr>
          <w:i/>
          <w:sz w:val="20"/>
          <w:lang w:val="hr-BA"/>
        </w:rPr>
        <w:t xml:space="preserve"> odstupanj</w:t>
      </w:r>
      <w:r w:rsidR="00CD7E1F">
        <w:rPr>
          <w:i/>
          <w:sz w:val="20"/>
          <w:lang w:val="hr-BA"/>
        </w:rPr>
        <w:t>a</w:t>
      </w:r>
      <w:r w:rsidR="00C9760E" w:rsidRPr="00C9760E">
        <w:rPr>
          <w:i/>
          <w:sz w:val="20"/>
          <w:lang w:val="hr-BA"/>
        </w:rPr>
        <w:t xml:space="preserve"> „očekivanih“ izvora finansiranja </w:t>
      </w:r>
      <w:r w:rsidR="00CD7E1F">
        <w:rPr>
          <w:i/>
          <w:sz w:val="20"/>
          <w:lang w:val="hr-BA"/>
        </w:rPr>
        <w:t xml:space="preserve">u pojednim godinama </w:t>
      </w:r>
      <w:r w:rsidR="00C9760E" w:rsidRPr="00C9760E">
        <w:rPr>
          <w:i/>
          <w:sz w:val="20"/>
          <w:lang w:val="hr-BA"/>
        </w:rPr>
        <w:t>u odnosu na trend ostvarenih izvora finansiranja u prot</w:t>
      </w:r>
      <w:r w:rsidR="003C4538">
        <w:rPr>
          <w:i/>
          <w:sz w:val="20"/>
          <w:lang w:val="hr-BA"/>
        </w:rPr>
        <w:t>e</w:t>
      </w:r>
      <w:r w:rsidR="00C9760E" w:rsidRPr="00C9760E">
        <w:rPr>
          <w:i/>
          <w:sz w:val="20"/>
          <w:lang w:val="hr-BA"/>
        </w:rPr>
        <w:t>k</w:t>
      </w:r>
      <w:r w:rsidR="00CD7E1F">
        <w:rPr>
          <w:i/>
          <w:sz w:val="20"/>
          <w:lang w:val="hr-BA"/>
        </w:rPr>
        <w:t>l</w:t>
      </w:r>
      <w:r w:rsidR="00C9760E" w:rsidRPr="00C9760E">
        <w:rPr>
          <w:i/>
          <w:sz w:val="20"/>
          <w:lang w:val="hr-BA"/>
        </w:rPr>
        <w:t>om periodu implementacije.</w:t>
      </w:r>
      <w:r w:rsidR="00CD7E1F">
        <w:rPr>
          <w:i/>
          <w:sz w:val="20"/>
          <w:lang w:val="hr-BA"/>
        </w:rPr>
        <w:t xml:space="preserve"> </w:t>
      </w:r>
    </w:p>
    <w:sectPr w:rsidR="003C4538" w:rsidRPr="00C9760E" w:rsidSect="006655BC">
      <w:headerReference w:type="first" r:id="rId8"/>
      <w:footerReference w:type="first" r:id="rId9"/>
      <w:pgSz w:w="15840" w:h="12240" w:orient="landscape"/>
      <w:pgMar w:top="720" w:right="1440" w:bottom="85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713" w:rsidRDefault="00B32713" w:rsidP="00C3768A">
      <w:pPr>
        <w:spacing w:after="0" w:line="240" w:lineRule="auto"/>
      </w:pPr>
      <w:r>
        <w:separator/>
      </w:r>
    </w:p>
  </w:endnote>
  <w:endnote w:type="continuationSeparator" w:id="0">
    <w:p w:rsidR="00B32713" w:rsidRDefault="00B32713" w:rsidP="00C3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7E9" w:rsidRDefault="00904ED4" w:rsidP="008816E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4786F">
      <w:rPr>
        <w:noProof/>
      </w:rPr>
      <w:t>1</w:t>
    </w:r>
    <w:r>
      <w:rPr>
        <w:noProof/>
      </w:rPr>
      <w:fldChar w:fldCharType="end"/>
    </w:r>
  </w:p>
  <w:p w:rsidR="001D37E9" w:rsidRDefault="001D37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713" w:rsidRDefault="00B32713" w:rsidP="00C3768A">
      <w:pPr>
        <w:spacing w:after="0" w:line="240" w:lineRule="auto"/>
      </w:pPr>
      <w:r>
        <w:separator/>
      </w:r>
    </w:p>
  </w:footnote>
  <w:footnote w:type="continuationSeparator" w:id="0">
    <w:p w:rsidR="00B32713" w:rsidRDefault="00B32713" w:rsidP="00C3768A">
      <w:pPr>
        <w:spacing w:after="0" w:line="240" w:lineRule="auto"/>
      </w:pPr>
      <w:r>
        <w:continuationSeparator/>
      </w:r>
    </w:p>
  </w:footnote>
  <w:footnote w:id="1">
    <w:p w:rsidR="00CA3AF1" w:rsidRPr="00CA3AF1" w:rsidRDefault="00CA3AF1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 w:rsidRPr="0001638A">
        <w:rPr>
          <w:lang w:val="es-ES"/>
        </w:rPr>
        <w:t xml:space="preserve"> Lis</w:t>
      </w:r>
      <w:r w:rsidR="000A7F71" w:rsidRPr="0001638A">
        <w:rPr>
          <w:lang w:val="es-ES"/>
        </w:rPr>
        <w:t>t</w:t>
      </w:r>
      <w:r w:rsidRPr="0001638A">
        <w:rPr>
          <w:lang w:val="es-ES"/>
        </w:rPr>
        <w:t>a u</w:t>
      </w:r>
      <w:r>
        <w:rPr>
          <w:lang w:val="bs-Latn-BA"/>
        </w:rPr>
        <w:t>česnika je u prilogu.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00F" w:rsidRPr="005C7A4E" w:rsidRDefault="006655BC" w:rsidP="00165EFC">
    <w:pPr>
      <w:spacing w:after="240" w:line="240" w:lineRule="auto"/>
      <w:jc w:val="center"/>
      <w:rPr>
        <w:sz w:val="28"/>
        <w:szCs w:val="28"/>
      </w:rPr>
    </w:pPr>
    <w:r w:rsidRPr="005C7A4E">
      <w:rPr>
        <w:b/>
        <w:sz w:val="28"/>
        <w:szCs w:val="28"/>
        <w:lang w:val="hr-BA"/>
      </w:rPr>
      <w:t>Prognoza mogućnosti finansiranj</w:t>
    </w:r>
    <w:r w:rsidR="005A5C33" w:rsidRPr="005C7A4E">
      <w:rPr>
        <w:b/>
        <w:sz w:val="28"/>
        <w:szCs w:val="28"/>
        <w:lang w:val="hr-BA"/>
      </w:rPr>
      <w:t>a</w:t>
    </w:r>
    <w:r w:rsidRPr="005C7A4E">
      <w:rPr>
        <w:b/>
        <w:sz w:val="28"/>
        <w:szCs w:val="28"/>
        <w:lang w:val="hr-BA"/>
      </w:rPr>
      <w:t xml:space="preserve"> prioriteta </w:t>
    </w:r>
    <w:r w:rsidR="007F400F">
      <w:rPr>
        <w:b/>
        <w:sz w:val="28"/>
        <w:szCs w:val="28"/>
        <w:lang w:val="hr-BA"/>
      </w:rPr>
      <w:t xml:space="preserve">revidirane </w:t>
    </w:r>
    <w:r w:rsidRPr="005C7A4E">
      <w:rPr>
        <w:b/>
        <w:sz w:val="28"/>
        <w:szCs w:val="28"/>
        <w:lang w:val="hr-BA"/>
      </w:rPr>
      <w:t xml:space="preserve">razvojne strategije </w:t>
    </w:r>
    <w:r w:rsidR="008C7528" w:rsidRPr="008C7528">
      <w:rPr>
        <w:b/>
        <w:sz w:val="28"/>
        <w:szCs w:val="28"/>
        <w:lang w:val="hr-BA"/>
      </w:rPr>
      <w:t xml:space="preserve">Općine Jablanica </w:t>
    </w:r>
    <w:r w:rsidRPr="005C7A4E">
      <w:rPr>
        <w:b/>
        <w:sz w:val="28"/>
        <w:szCs w:val="28"/>
        <w:lang w:val="hr-BA"/>
      </w:rPr>
      <w:t>(</w:t>
    </w:r>
    <w:r w:rsidRPr="004369E0">
      <w:rPr>
        <w:b/>
        <w:sz w:val="28"/>
        <w:szCs w:val="28"/>
        <w:lang w:val="hr-BA"/>
      </w:rPr>
      <w:t>201</w:t>
    </w:r>
    <w:r w:rsidR="00611838" w:rsidRPr="004369E0">
      <w:rPr>
        <w:b/>
        <w:sz w:val="28"/>
        <w:szCs w:val="28"/>
        <w:lang w:val="hr-BA"/>
      </w:rPr>
      <w:t>9</w:t>
    </w:r>
    <w:r w:rsidR="005C7A4E" w:rsidRPr="004369E0">
      <w:rPr>
        <w:b/>
        <w:sz w:val="28"/>
        <w:szCs w:val="28"/>
        <w:lang w:val="hr-BA"/>
      </w:rPr>
      <w:t>.</w:t>
    </w:r>
    <w:r w:rsidRPr="005C7A4E">
      <w:rPr>
        <w:b/>
        <w:sz w:val="28"/>
        <w:szCs w:val="28"/>
        <w:lang w:val="hr-BA"/>
      </w:rPr>
      <w:t>-202</w:t>
    </w:r>
    <w:r w:rsidR="00611838">
      <w:rPr>
        <w:b/>
        <w:sz w:val="28"/>
        <w:szCs w:val="28"/>
        <w:lang w:val="hr-BA"/>
      </w:rPr>
      <w:t>3</w:t>
    </w:r>
    <w:r w:rsidRPr="005C7A4E">
      <w:rPr>
        <w:b/>
        <w:sz w:val="28"/>
        <w:szCs w:val="28"/>
        <w:lang w:val="hr-B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62334"/>
    <w:multiLevelType w:val="hybridMultilevel"/>
    <w:tmpl w:val="7EBA2F2E"/>
    <w:lvl w:ilvl="0" w:tplc="2ED62204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7375E"/>
    <w:multiLevelType w:val="hybridMultilevel"/>
    <w:tmpl w:val="A90260A0"/>
    <w:lvl w:ilvl="0" w:tplc="2ED62204">
      <w:start w:val="7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27"/>
    <w:rsid w:val="000050DD"/>
    <w:rsid w:val="0001638A"/>
    <w:rsid w:val="00023C13"/>
    <w:rsid w:val="00042F3F"/>
    <w:rsid w:val="00082264"/>
    <w:rsid w:val="0009073C"/>
    <w:rsid w:val="00097CA9"/>
    <w:rsid w:val="000A12F0"/>
    <w:rsid w:val="000A7F71"/>
    <w:rsid w:val="000B5F2A"/>
    <w:rsid w:val="000C1F98"/>
    <w:rsid w:val="000F67C0"/>
    <w:rsid w:val="00104E65"/>
    <w:rsid w:val="0011215B"/>
    <w:rsid w:val="00123AC1"/>
    <w:rsid w:val="00135AB2"/>
    <w:rsid w:val="00140B4C"/>
    <w:rsid w:val="00153A85"/>
    <w:rsid w:val="00165EFC"/>
    <w:rsid w:val="001A26BF"/>
    <w:rsid w:val="001A70F4"/>
    <w:rsid w:val="001D37E9"/>
    <w:rsid w:val="001F400C"/>
    <w:rsid w:val="001F6560"/>
    <w:rsid w:val="00211F13"/>
    <w:rsid w:val="00222DE6"/>
    <w:rsid w:val="00235CCD"/>
    <w:rsid w:val="00290D1D"/>
    <w:rsid w:val="00291DF9"/>
    <w:rsid w:val="002C5702"/>
    <w:rsid w:val="002D66C7"/>
    <w:rsid w:val="002E3282"/>
    <w:rsid w:val="002F581F"/>
    <w:rsid w:val="00312374"/>
    <w:rsid w:val="00314C97"/>
    <w:rsid w:val="00317746"/>
    <w:rsid w:val="00324937"/>
    <w:rsid w:val="00337E4C"/>
    <w:rsid w:val="00345ED3"/>
    <w:rsid w:val="0035616A"/>
    <w:rsid w:val="00365B5C"/>
    <w:rsid w:val="0037024D"/>
    <w:rsid w:val="00377750"/>
    <w:rsid w:val="003B20D3"/>
    <w:rsid w:val="003B33F2"/>
    <w:rsid w:val="003C4538"/>
    <w:rsid w:val="003D22FC"/>
    <w:rsid w:val="003E61A5"/>
    <w:rsid w:val="003F36CA"/>
    <w:rsid w:val="00400A81"/>
    <w:rsid w:val="00422562"/>
    <w:rsid w:val="004369E0"/>
    <w:rsid w:val="00450B58"/>
    <w:rsid w:val="00472DBA"/>
    <w:rsid w:val="00481BE8"/>
    <w:rsid w:val="00483F79"/>
    <w:rsid w:val="00485925"/>
    <w:rsid w:val="004874D5"/>
    <w:rsid w:val="004908BB"/>
    <w:rsid w:val="004909EF"/>
    <w:rsid w:val="004B30ED"/>
    <w:rsid w:val="004C1872"/>
    <w:rsid w:val="004C3CBA"/>
    <w:rsid w:val="004D5437"/>
    <w:rsid w:val="004E02CE"/>
    <w:rsid w:val="004E544D"/>
    <w:rsid w:val="004F262E"/>
    <w:rsid w:val="004F7146"/>
    <w:rsid w:val="005124B4"/>
    <w:rsid w:val="00565018"/>
    <w:rsid w:val="00570084"/>
    <w:rsid w:val="005868AB"/>
    <w:rsid w:val="00591D39"/>
    <w:rsid w:val="005A395B"/>
    <w:rsid w:val="005A5C33"/>
    <w:rsid w:val="005A6257"/>
    <w:rsid w:val="005B2378"/>
    <w:rsid w:val="005C3C1F"/>
    <w:rsid w:val="005C4A6D"/>
    <w:rsid w:val="005C7A4E"/>
    <w:rsid w:val="005E7FD2"/>
    <w:rsid w:val="005F0030"/>
    <w:rsid w:val="005F0390"/>
    <w:rsid w:val="005F3867"/>
    <w:rsid w:val="005F7D4A"/>
    <w:rsid w:val="006071AE"/>
    <w:rsid w:val="00611838"/>
    <w:rsid w:val="006279C9"/>
    <w:rsid w:val="006346D6"/>
    <w:rsid w:val="00640AC1"/>
    <w:rsid w:val="00642CE0"/>
    <w:rsid w:val="00646F3B"/>
    <w:rsid w:val="006517E0"/>
    <w:rsid w:val="006655BC"/>
    <w:rsid w:val="00675E38"/>
    <w:rsid w:val="0068249C"/>
    <w:rsid w:val="0069434C"/>
    <w:rsid w:val="006A37B6"/>
    <w:rsid w:val="006A6E83"/>
    <w:rsid w:val="006B7E27"/>
    <w:rsid w:val="006D68BE"/>
    <w:rsid w:val="006F6A1F"/>
    <w:rsid w:val="007009A3"/>
    <w:rsid w:val="007035DB"/>
    <w:rsid w:val="0072286A"/>
    <w:rsid w:val="0073724A"/>
    <w:rsid w:val="00747FBC"/>
    <w:rsid w:val="007913DD"/>
    <w:rsid w:val="007977B5"/>
    <w:rsid w:val="00797D7A"/>
    <w:rsid w:val="007B3777"/>
    <w:rsid w:val="007C2EA5"/>
    <w:rsid w:val="007D6BE7"/>
    <w:rsid w:val="007D7443"/>
    <w:rsid w:val="007F09F5"/>
    <w:rsid w:val="007F400F"/>
    <w:rsid w:val="00802C96"/>
    <w:rsid w:val="00804EA3"/>
    <w:rsid w:val="00816A19"/>
    <w:rsid w:val="00826EB2"/>
    <w:rsid w:val="00831725"/>
    <w:rsid w:val="0084774B"/>
    <w:rsid w:val="008816EE"/>
    <w:rsid w:val="00882AD2"/>
    <w:rsid w:val="00885B4D"/>
    <w:rsid w:val="008A40C6"/>
    <w:rsid w:val="008B1604"/>
    <w:rsid w:val="008B5BF3"/>
    <w:rsid w:val="008C2761"/>
    <w:rsid w:val="008C7528"/>
    <w:rsid w:val="008E0CB2"/>
    <w:rsid w:val="008E659D"/>
    <w:rsid w:val="00904ED4"/>
    <w:rsid w:val="009547FE"/>
    <w:rsid w:val="00971EE8"/>
    <w:rsid w:val="00981846"/>
    <w:rsid w:val="00993FF2"/>
    <w:rsid w:val="009D633E"/>
    <w:rsid w:val="009D63A8"/>
    <w:rsid w:val="009E2F3B"/>
    <w:rsid w:val="009E3979"/>
    <w:rsid w:val="009F10EF"/>
    <w:rsid w:val="009F17E7"/>
    <w:rsid w:val="009F21A6"/>
    <w:rsid w:val="00A03DC8"/>
    <w:rsid w:val="00A06D38"/>
    <w:rsid w:val="00A12AFD"/>
    <w:rsid w:val="00A1507C"/>
    <w:rsid w:val="00A15832"/>
    <w:rsid w:val="00A35D21"/>
    <w:rsid w:val="00A430A9"/>
    <w:rsid w:val="00A47FAB"/>
    <w:rsid w:val="00A53BA2"/>
    <w:rsid w:val="00A550A1"/>
    <w:rsid w:val="00A569A6"/>
    <w:rsid w:val="00A61DE4"/>
    <w:rsid w:val="00A7428E"/>
    <w:rsid w:val="00AF057E"/>
    <w:rsid w:val="00AF5ADD"/>
    <w:rsid w:val="00AF7387"/>
    <w:rsid w:val="00B10327"/>
    <w:rsid w:val="00B12B9A"/>
    <w:rsid w:val="00B20CEE"/>
    <w:rsid w:val="00B31728"/>
    <w:rsid w:val="00B31C12"/>
    <w:rsid w:val="00B32713"/>
    <w:rsid w:val="00B3463B"/>
    <w:rsid w:val="00B513D7"/>
    <w:rsid w:val="00B544E6"/>
    <w:rsid w:val="00B87A07"/>
    <w:rsid w:val="00B91C1E"/>
    <w:rsid w:val="00B966B8"/>
    <w:rsid w:val="00BB75AE"/>
    <w:rsid w:val="00BC01CF"/>
    <w:rsid w:val="00BC29EA"/>
    <w:rsid w:val="00BD7368"/>
    <w:rsid w:val="00BD7B28"/>
    <w:rsid w:val="00BD7DD5"/>
    <w:rsid w:val="00C046FE"/>
    <w:rsid w:val="00C060F4"/>
    <w:rsid w:val="00C240E5"/>
    <w:rsid w:val="00C3768A"/>
    <w:rsid w:val="00C5016E"/>
    <w:rsid w:val="00C558BE"/>
    <w:rsid w:val="00C671A6"/>
    <w:rsid w:val="00C949C6"/>
    <w:rsid w:val="00C95B3A"/>
    <w:rsid w:val="00C9760E"/>
    <w:rsid w:val="00CA3AF1"/>
    <w:rsid w:val="00CB375A"/>
    <w:rsid w:val="00CC0970"/>
    <w:rsid w:val="00CC6D7C"/>
    <w:rsid w:val="00CD7E1F"/>
    <w:rsid w:val="00CE5C11"/>
    <w:rsid w:val="00D07C83"/>
    <w:rsid w:val="00D24714"/>
    <w:rsid w:val="00D2487A"/>
    <w:rsid w:val="00D52864"/>
    <w:rsid w:val="00D673C3"/>
    <w:rsid w:val="00D72EBA"/>
    <w:rsid w:val="00D854A6"/>
    <w:rsid w:val="00DB52DE"/>
    <w:rsid w:val="00DD26B8"/>
    <w:rsid w:val="00DD4E1D"/>
    <w:rsid w:val="00E01BD5"/>
    <w:rsid w:val="00E10BB8"/>
    <w:rsid w:val="00E24432"/>
    <w:rsid w:val="00E35079"/>
    <w:rsid w:val="00E608B2"/>
    <w:rsid w:val="00E84FE0"/>
    <w:rsid w:val="00EA20CB"/>
    <w:rsid w:val="00EC3407"/>
    <w:rsid w:val="00ED02C9"/>
    <w:rsid w:val="00ED4CA6"/>
    <w:rsid w:val="00EE55C9"/>
    <w:rsid w:val="00EF0432"/>
    <w:rsid w:val="00EF4F31"/>
    <w:rsid w:val="00F11204"/>
    <w:rsid w:val="00F138EA"/>
    <w:rsid w:val="00F16D34"/>
    <w:rsid w:val="00F4786F"/>
    <w:rsid w:val="00F5054C"/>
    <w:rsid w:val="00F64152"/>
    <w:rsid w:val="00F84F3F"/>
    <w:rsid w:val="00F87EE6"/>
    <w:rsid w:val="00F9423E"/>
    <w:rsid w:val="00FB57A1"/>
    <w:rsid w:val="00FD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F4F2D2C-E800-4988-8BC0-E9D921B6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BA" w:eastAsia="sr-Latn-B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A1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10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C376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3768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3768A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881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816E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1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16EE"/>
    <w:rPr>
      <w:rFonts w:cs="Times New Roman"/>
    </w:rPr>
  </w:style>
  <w:style w:type="paragraph" w:styleId="ListParagraph">
    <w:name w:val="List Paragraph"/>
    <w:basedOn w:val="Normal"/>
    <w:uiPriority w:val="34"/>
    <w:qFormat/>
    <w:rsid w:val="005C7A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3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A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AF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AF1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AF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0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314B5-0FEF-417A-8777-B1B6AC1F6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prognozu mogućnosti finansiranje prioriteta lokalne razvojne strategije iz internih i eksternih izvora</vt:lpstr>
    </vt:vector>
  </TitlesOfParts>
  <Company>UNDP Bosnia and Herzegovina</Company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prognozu mogućnosti finansiranje prioriteta lokalne razvojne strategije iz internih i eksternih izvora</dc:title>
  <dc:creator>mob</dc:creator>
  <cp:lastModifiedBy>Almir Zulic</cp:lastModifiedBy>
  <cp:revision>1</cp:revision>
  <cp:lastPrinted>2018-08-15T12:01:00Z</cp:lastPrinted>
  <dcterms:created xsi:type="dcterms:W3CDTF">2019-02-17T15:36:00Z</dcterms:created>
  <dcterms:modified xsi:type="dcterms:W3CDTF">2019-02-17T15:36:00Z</dcterms:modified>
</cp:coreProperties>
</file>